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6898D4C" Type="http://schemas.openxmlformats.org/officeDocument/2006/relationships/officeDocument" Target="/word/document.xml" /><Relationship Id="coreR26898D4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5997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460/02 iniciado por la Sra. Gladis Polanco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fue eximida durante los años 2000 y 2001 por Resoluciones de Dirección de Ingresos Públicos;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refleja carencia de recursos de la solicitante, quien vive sola y no percibe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28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EXIMIR </w:t>
      </w:r>
      <w:r>
        <w:rPr>
          <w:rStyle w:val="C3"/>
          <w:rFonts w:ascii="Courier New" w:hAnsi="Courier New"/>
          <w:sz w:val="24"/>
        </w:rPr>
        <w:t>en un cien por ciento (100%) el pago de la deuda y las cuotas correspondientes a los años 2002 y 2003 de Tasa por Servicios a la Propiedad al inmueble designación catastral 01-01-206-028-000.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01-01-206-028-000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sz w:val="24"/>
        </w:rPr>
        <w:t>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2002-12-03T16:02:00Z</dcterms:created>
  <cp:lastModifiedBy>Ethan Puglia</cp:lastModifiedBy>
  <cp:lastPrinted>2002-12-03T14:53:00Z</cp:lastPrinted>
  <dcterms:modified xsi:type="dcterms:W3CDTF">2019-03-28T17:33:46Z</dcterms:modified>
  <cp:revision>6</cp:revision>
  <dc:title>ORDENANZA  Nº  5354</dc:title>
</cp:coreProperties>
</file>