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43061" Type="http://schemas.openxmlformats.org/officeDocument/2006/relationships/officeDocument" Target="/word/document.xml" /><Relationship Id="coreR6D4306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5998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998/02 iniciado por la Sra. Rainelda Biolatto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de Dirección de Ingresos Públicos la solicitante fue eximida en un cincuenta por ciento (50%);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con la que convive percibe algunos ingresos y la vivienda cuenta con las condiciones de habitabilidad suficientes;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28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EXIMIR </w:t>
      </w:r>
      <w:r>
        <w:rPr>
          <w:rStyle w:val="C3"/>
          <w:rFonts w:ascii="Courier New" w:hAnsi="Courier New"/>
          <w:sz w:val="24"/>
        </w:rPr>
        <w:t xml:space="preserve">en un treinta por ciento (30%) el pago de las  cuotas de Tasa por Servicios a la Propiedad a partir de la Sanción de la presente Ordenanza y hasta el 31 de diciembre de 2003, al inmueble designación catastral 01-01-074-032-000.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01-01-074-032-000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2002-12-04T10:54:00Z</dcterms:created>
  <cp:lastModifiedBy>Ethan Puglia</cp:lastModifiedBy>
  <cp:lastPrinted>2002-12-03T14:53:00Z</cp:lastPrinted>
  <dcterms:modified xsi:type="dcterms:W3CDTF">2019-03-28T17:33:46Z</dcterms:modified>
  <cp:revision>8</cp:revision>
  <dc:title>ORDENANZA  Nº  5354</dc:title>
</cp:coreProperties>
</file>