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312CADE6" Type="http://schemas.openxmlformats.org/officeDocument/2006/relationships/officeDocument" Target="/word/document.xml" /><Relationship Id="coreR312CADE6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6001</w:t>
      </w: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579/02 iniciado por la Sra. Adelaida Eva López solicitando exención de Tasa por Servicios de Administración y Mantenimiento de los Cementerios; y</w:t>
      </w:r>
    </w:p>
    <w:p>
      <w:pPr>
        <w:pStyle w:val="P5"/>
        <w:rPr>
          <w:rStyle w:val="C3"/>
          <w:rFonts w:ascii="Courier New" w:hAnsi="Courier New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del estudio socioeconómico realizado surge que se trata de un grupo familiar que carece de ingresos suficientes para afrontar el pago de la mencionada tasa;</w:t>
      </w: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accediendo a otorgar una exención parcial, despacho aprobado por unanimidad en Sesión de fecha 28 de noviembre de 2002.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</w:t>
      </w:r>
      <w:r>
        <w:rPr>
          <w:rStyle w:val="C3"/>
          <w:rFonts w:ascii="Courier New" w:hAnsi="Courier New"/>
          <w:b w:val="1"/>
          <w:sz w:val="24"/>
          <w:u w:val="single"/>
        </w:rPr>
        <w:t>.</w:t>
      </w:r>
      <w:r>
        <w:rPr>
          <w:rStyle w:val="C3"/>
          <w:rFonts w:ascii="Courier New" w:hAnsi="Courier New"/>
          <w:b w:val="1"/>
          <w:sz w:val="24"/>
          <w:u w:val="single"/>
        </w:rPr>
        <w:t>1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EXIMIR </w:t>
      </w:r>
      <w:r>
        <w:rPr>
          <w:rStyle w:val="C3"/>
          <w:rFonts w:ascii="Courier New" w:hAnsi="Courier New"/>
          <w:sz w:val="24"/>
        </w:rPr>
        <w:t xml:space="preserve">en un cincuenta por ciento (50%) la deuda y las cuotas correspondientes al año 2002 de Tasa por Servicios de Administración y Mantenimiento de los Cementerios – Identificación Nº 007558. 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2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VEINTIOCHO DIAS DEL MES DE NOVIEMBRE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2002-12-05T11:11:00Z</dcterms:created>
  <cp:lastModifiedBy>Ethan Puglia</cp:lastModifiedBy>
  <cp:lastPrinted>2002-12-05T11:06:00Z</cp:lastPrinted>
  <dcterms:modified xsi:type="dcterms:W3CDTF">2019-03-28T17:33:46Z</dcterms:modified>
  <cp:revision>7</cp:revision>
  <dc:title>ORDENANZA  Nº  5354</dc:title>
</cp:coreProperties>
</file>