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E325AC" Type="http://schemas.openxmlformats.org/officeDocument/2006/relationships/officeDocument" Target="/word/document.xml" /><Relationship Id="coreR69E325A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6005</w:t>
      </w:r>
    </w:p>
    <w:p>
      <w:pPr>
        <w:pStyle w:val="P4"/>
        <w:rPr>
          <w:rStyle w:val="C3"/>
          <w:rFonts w:ascii="Courier New" w:hAnsi="Courier New"/>
        </w:rPr>
      </w:pPr>
    </w:p>
    <w:p>
      <w:pPr>
        <w:pStyle w:val="P5"/>
        <w:rPr>
          <w:rStyle w:val="C3"/>
          <w:rFonts w:ascii="Courier New" w:hAnsi="Courier New"/>
        </w:rPr>
      </w:pPr>
      <w:r>
        <w:rPr>
          <w:rStyle w:val="C3"/>
          <w:rFonts w:ascii="Courier New" w:hAnsi="Courier New"/>
        </w:rPr>
        <w:t>Visto: La Ordenanza Nº 3873 “Ordenanza General Impositiva”, en su Título I correspondiente a la Contribución que incide sobre los Inmuebles, Capítulo IV Exenciones, Art. 78 Exenciones Subjetivas;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el inciso 6 del Artículo 78 establece el beneficio de la exención sobre la contribución que incide sobre los inmuebles únicos y de uso familiar, que sólo alcanza a vecinos que residen en determinadas zonas de la Ciudad;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las actuales condiciones económicas, residir en una zona considerada de altos ingresos, no significa de manera absoluta capacidad de pago de las tasas municipales;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evaluación de la condición económica de los vecinos, no puede estar sujeta únicamente a la zona donde se reside, sino que el análisis debe ser más acabado, considerando además la situación actual de quien solicita el auxilio o el beneficio de la exención y la de su familia;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acreditación fehaciente de la incapacidad de pago de las tasas municipales, debe ser el único y principal requisito para la exención a la que hace referencia este Artículo 78 de la Ordenanza Nº 3873.</w:t>
      </w:r>
    </w:p>
    <w:p>
      <w:pPr>
        <w:pStyle w:val="P6"/>
        <w:rPr>
          <w:rStyle w:val="C3"/>
          <w:rFonts w:ascii="Courier New" w:hAnsi="Courier New"/>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MODIFICASE </w:t>
      </w:r>
      <w:r>
        <w:rPr>
          <w:rStyle w:val="C3"/>
          <w:rFonts w:ascii="Courier New" w:hAnsi="Courier New"/>
          <w:sz w:val="24"/>
        </w:rPr>
        <w:t>el Inc. 6) del Art. 78 de la Ordenanza Nº 3873, el que queda redactado de la siguiente manera:</w:t>
      </w:r>
    </w:p>
    <w:p>
      <w:pPr>
        <w:ind w:hanging="709" w:left="709"/>
        <w:jc w:val="both"/>
        <w:rPr>
          <w:rStyle w:val="C3"/>
          <w:rFonts w:ascii="Courier New" w:hAnsi="Courier New"/>
          <w:b w:val="1"/>
          <w:sz w:val="24"/>
          <w:u w:val="single"/>
        </w:rPr>
      </w:pPr>
    </w:p>
    <w:p>
      <w:pPr>
        <w:ind w:left="709"/>
        <w:jc w:val="both"/>
        <w:rPr>
          <w:rStyle w:val="C3"/>
          <w:rFonts w:ascii="Courier New" w:hAnsi="Courier New"/>
          <w:sz w:val="24"/>
        </w:rPr>
      </w:pPr>
      <w:r>
        <w:rPr>
          <w:rStyle w:val="C3"/>
          <w:rFonts w:ascii="Courier New" w:hAnsi="Courier New"/>
          <w:b w:val="1"/>
          <w:sz w:val="24"/>
          <w:u w:val="single"/>
        </w:rPr>
        <w:t>“Inc.6:</w:t>
      </w:r>
      <w:r>
        <w:rPr>
          <w:rStyle w:val="C3"/>
          <w:rFonts w:ascii="Courier New" w:hAnsi="Courier New"/>
          <w:sz w:val="24"/>
        </w:rPr>
        <w:t xml:space="preserve"> El inmueble, propiedad o tenencia precaria otor- </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gada por entidad pública del orden Nacional, Provincial o Municipal, única del titular o su grupo familiar que convive con él, destinado a la vivienda permanente de los mismos y el baldío – propiedad única – cuando el propósito presente o futuro, sea la construcción de la vivienda familiar, cuando el contribuyente acredite fehacientemente carecer de ingresos para afrontar el pago del gravamen. En estos casos podrá eximirse hasta en un cien por ciento (100%).</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VEINTIOCHO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2002-12-05T13:56:00Z</dcterms:created>
  <cp:lastModifiedBy>Ethan Puglia</cp:lastModifiedBy>
  <cp:lastPrinted>2002-12-05T16:23:00Z</cp:lastPrinted>
  <dcterms:modified xsi:type="dcterms:W3CDTF">2019-03-28T17:33:46Z</dcterms:modified>
  <cp:revision>9</cp:revision>
  <dc:title>ORDENANZA  Nº  5354</dc:title>
</cp:coreProperties>
</file>