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DD920EE" Type="http://schemas.openxmlformats.org/officeDocument/2006/relationships/officeDocument" Target="/word/document.xml" /><Relationship Id="coreRDD920E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6022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219/02 iniciado por la Sra. Esther Flores solicitando exención de Tasas;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la solicitante subsiste con escasos ingresos provenientes de ventas varias que realiza;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posee dos (2) vehículos y una (1) propiedad, la cual, según manifiesta, se encuentra en venta; 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facilitar el pago de lo adeudado, despacho aprobado por unanimidad en Sesión de fecha 5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AUTORIZAR </w:t>
      </w:r>
      <w:r>
        <w:rPr>
          <w:rStyle w:val="C3"/>
          <w:rFonts w:ascii="Courier New" w:hAnsi="Courier New"/>
          <w:sz w:val="24"/>
        </w:rPr>
        <w:t xml:space="preserve">al Departamento Ejecutivo a otorgar a la contribuyente un plan de pagos acorde a sus posibilidades por las deudas que en todo concepto  mantenga con el Municipio – Contribuyente Nº 6040.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CINCO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2002-12-09T16:39:00Z</dcterms:created>
  <cp:lastModifiedBy>Ethan Puglia</cp:lastModifiedBy>
  <cp:lastPrinted>2002-11-18T14:59:00Z</cp:lastPrinted>
  <dcterms:modified xsi:type="dcterms:W3CDTF">2019-03-28T17:33:47Z</dcterms:modified>
  <cp:revision>10</cp:revision>
  <dc:title>ORDENANZA  Nº  5354</dc:title>
</cp:coreProperties>
</file>