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4E406F" Type="http://schemas.openxmlformats.org/officeDocument/2006/relationships/officeDocument" Target="/word/document.xml" /><Relationship Id="coreR634E40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3519, Escalafón Municipal, aprobada el 11 de junio de 1997;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la aplicación de la referida Ordenanza, surge la exclusión de algunos agentes municipales afectados a tareas riesgosas e insalubres;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práctica estos agentes perciben el beneficio de los adicionales atinentes a sus tareas, gracias a la buena predisposición del Departamento Ejecutivo a través de la Comisión de Relaciones Laborales;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torna necesario reparar esta omisión incluyendo a los referidos agentes en el Escalafón Municipal.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MODIFÍQUESE </w:t>
      </w:r>
      <w:r>
        <w:rPr>
          <w:rStyle w:val="C3"/>
          <w:rFonts w:ascii="Courier New" w:hAnsi="Courier New"/>
          <w:sz w:val="24"/>
        </w:rPr>
        <w:t xml:space="preserve">el Art. 117 de la Ordenanza Nº 3519 en su inc. 3) apartado “E”, el cual quedará redactado de la siguiente manera: “E) </w:t>
      </w:r>
      <w:r>
        <w:rPr>
          <w:rStyle w:val="C3"/>
          <w:rFonts w:ascii="Courier New" w:hAnsi="Courier New"/>
          <w:b w:val="1"/>
          <w:sz w:val="24"/>
        </w:rPr>
        <w:t>Retribución por tareas insalubres:</w:t>
      </w:r>
      <w:r>
        <w:rPr>
          <w:rStyle w:val="C3"/>
          <w:rFonts w:ascii="Courier New" w:hAnsi="Courier New"/>
          <w:sz w:val="24"/>
        </w:rPr>
        <w:t xml:space="preserve"> Es la asignación mensual que percibe todo Agente Municipal que desempeñe tareas en forma permanente o transitoria, cuya insalubridad ha sido declarada por las Leyes sobre el particular en vigencia.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Inhumador de cementerio. Personal de Saneamiento. Dotación de carros atmosféricos. Cloaquistas. Plomeros. Personal que realiza el barrido manual de calles. Choferes y cargadores de tachos que se desempeñan en ca- 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miones recolectores de residuos. Operador de farmacia y/o droguería. Pintor. Tipógrafo. Vulcanizador. Personal que realiza tareas permanentes utilizando martillos neumáticos. Personal de espacios verdes. Personal que interviene directamente con la preparación y manipuleo de elementos químicos en la lucha contra plagas. Enfermeros. Archiveros y bibliotecarios. Todo este personal percibirá el veinte por ciento (20%) de la categoría que revista”.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MODIFÍQUESE</w:t>
      </w:r>
      <w:r>
        <w:rPr>
          <w:rStyle w:val="C3"/>
          <w:rFonts w:ascii="Courier New" w:hAnsi="Courier New"/>
          <w:sz w:val="24"/>
        </w:rPr>
        <w:t xml:space="preserve"> el Art. 117 de la Ordenanza Nº 3519, en su Inc. 3) apartado “F”, el cual quedará redactado de la siguiente manera: “F) </w:t>
      </w:r>
      <w:r>
        <w:rPr>
          <w:rStyle w:val="C3"/>
          <w:rFonts w:ascii="Courier New" w:hAnsi="Courier New"/>
          <w:b w:val="1"/>
          <w:sz w:val="24"/>
        </w:rPr>
        <w:t>Retribución por tareas riesgosas:</w:t>
      </w:r>
      <w:r>
        <w:rPr>
          <w:rStyle w:val="C3"/>
          <w:rFonts w:ascii="Courier New" w:hAnsi="Courier New"/>
          <w:sz w:val="24"/>
        </w:rPr>
        <w:t xml:space="preserve"> Todo Agente Municipal que realice tareas en forma permanente o transitoria cuya peligrosidad haya sido declarada por las leyes en vigencia en materia de seguridad e higiene en el trabajo: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Personal afectado al depósito de sustancias tóxicas. Personal de herrería. Pulido. Metalizado. Fundición. Agentes del Cuerpo de vigilancia. Podadores de árboles. Personal afectado a trabajos con alta tensión. Demoledores. Arenador. Personal de pavimentación. Enlazador de perros. Conductor de coches ambulancias. Carpintero mecánico. Operador de usinas incineradoras. Galvanoplasta/hojalateros. Personal de hospitales y/o maternidades y/o asilos. Fogoneros de residuos y/o calderas. Chapista y/o soldador. Pintores. Operador de fabricación de escobas y/o cepillos. Personal de Espacios Verdes afectados a la conservación de plazoletas en las avenidas. Personal afectado al Matadero. Operario de máquinas viales. Palas mecánicas Electricista instalador y/o especializado en señalización luminosa. Alumbrado Público y/o de salas teatrales. Personal de demarcación en la vía pública. Barrenderos. Personal de relevamiento topográfico. El porcentaje a aplicarse para estas tareas riesgosas será del quince por ciento (15%) de la categoría que revista el Agente”.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2002-12-10T13:35:00Z</dcterms:created>
  <cp:lastModifiedBy>Ethan Puglia</cp:lastModifiedBy>
  <cp:lastPrinted>2002-12-13T16:02:00Z</cp:lastPrinted>
  <dcterms:modified xsi:type="dcterms:W3CDTF">2019-03-28T17:33:47Z</dcterms:modified>
  <cp:revision>14</cp:revision>
  <dc:title>ORDENANZA  Nº  5354</dc:title>
</cp:coreProperties>
</file>