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D61F9D7" Type="http://schemas.openxmlformats.org/officeDocument/2006/relationships/officeDocument" Target="/word/document.xml" /><Relationship Id="coreRD61F9D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6025</w:t>
      </w: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Los problemas que se ocasionan con motivo de la ocupación de las aceras con la exposición de mercaderías; y</w:t>
      </w:r>
    </w:p>
    <w:p>
      <w:pPr>
        <w:pStyle w:val="P5"/>
        <w:rPr>
          <w:rStyle w:val="C3"/>
          <w:rFonts w:ascii="Courier New" w:hAnsi="Courier New"/>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se hace necesario regular el uso de la vía pública para la exposición por parte de los comercios, en las aceras que correspondan a los frentes de sus locales, de mercaderías;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evaluadas las Ordenanzas vigentes y teniendo en cuenta la necesidad de regular específicamente este tema, el Concejo en Comisión emite despacho estableciendo la forma en que se puede ocupar la vía pública con la exposición de mercaderías en los frentes de los comercios, despacho aprobado por unanimidad en Sesión de fecha 5 de diciembre de 2002. </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6"/>
        <w:ind w:hanging="709"/>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PERMÍTASE</w:t>
      </w:r>
      <w:r>
        <w:rPr>
          <w:rStyle w:val="C3"/>
          <w:rFonts w:ascii="Courier New" w:hAnsi="Courier New"/>
          <w:b w:val="1"/>
        </w:rPr>
        <w:t xml:space="preserve"> </w:t>
      </w:r>
      <w:r>
        <w:rPr>
          <w:rStyle w:val="C3"/>
          <w:rFonts w:ascii="Courier New" w:hAnsi="Courier New"/>
        </w:rPr>
        <w:t>la exhibición de productos en las aceras de los comercios respetando las siguiente condiciones:</w:t>
      </w:r>
    </w:p>
    <w:p>
      <w:pPr>
        <w:pStyle w:val="P6"/>
        <w:numPr>
          <w:ilvl w:val="0"/>
          <w:numId w:val="2"/>
        </w:numPr>
        <w:rPr>
          <w:rStyle w:val="C3"/>
          <w:rFonts w:ascii="Courier New" w:hAnsi="Courier New"/>
        </w:rPr>
      </w:pPr>
      <w:r>
        <w:rPr>
          <w:rStyle w:val="C3"/>
          <w:rFonts w:ascii="Courier New" w:hAnsi="Courier New"/>
        </w:rPr>
        <w:t>Distancia libre de sesenta centímetros (60 cm.) de los ejes medianeros.</w:t>
      </w:r>
    </w:p>
    <w:p>
      <w:pPr>
        <w:pStyle w:val="P6"/>
        <w:numPr>
          <w:ilvl w:val="0"/>
          <w:numId w:val="2"/>
        </w:numPr>
        <w:rPr>
          <w:rStyle w:val="C3"/>
          <w:rFonts w:ascii="Courier New" w:hAnsi="Courier New"/>
        </w:rPr>
      </w:pPr>
      <w:r>
        <w:rPr>
          <w:rStyle w:val="C3"/>
          <w:rFonts w:ascii="Courier New" w:hAnsi="Courier New"/>
        </w:rPr>
        <w:t>Distancia libre de sesenta centímetros (60 cm.) del cordón de la vereda.</w:t>
      </w:r>
    </w:p>
    <w:p>
      <w:pPr>
        <w:pStyle w:val="P6"/>
        <w:numPr>
          <w:ilvl w:val="0"/>
          <w:numId w:val="2"/>
        </w:numPr>
        <w:rPr>
          <w:rStyle w:val="C3"/>
          <w:rFonts w:ascii="Courier New" w:hAnsi="Courier New"/>
        </w:rPr>
      </w:pPr>
      <w:r>
        <w:rPr>
          <w:rStyle w:val="C3"/>
          <w:rFonts w:ascii="Courier New" w:hAnsi="Courier New"/>
        </w:rPr>
        <w:t>Espacio continuo libre de dos metros (2 m.) de ancho para la circulación peatonal.</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PROHÍBASE</w:t>
      </w:r>
      <w:r>
        <w:rPr>
          <w:rStyle w:val="C3"/>
          <w:rFonts w:ascii="Courier New" w:hAnsi="Courier New"/>
          <w:b w:val="1"/>
          <w:sz w:val="24"/>
        </w:rPr>
        <w:t xml:space="preserve"> </w:t>
      </w:r>
      <w:r>
        <w:rPr>
          <w:rStyle w:val="C3"/>
          <w:rFonts w:ascii="Courier New" w:hAnsi="Courier New"/>
          <w:sz w:val="24"/>
        </w:rPr>
        <w:t>la ocupación de las ochavas en las esquinas.</w:t>
      </w:r>
    </w:p>
    <w:p>
      <w:pPr>
        <w:ind w:hanging="709" w:left="709"/>
        <w:jc w:val="both"/>
        <w:rPr>
          <w:rStyle w:val="C3"/>
          <w:rFonts w:ascii="Courier New" w:hAnsi="Courier New"/>
          <w:b w:val="1"/>
          <w:sz w:val="24"/>
          <w:u w:val="single"/>
        </w:rPr>
      </w:pP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w:t>
      </w:r>
      <w:r>
        <w:rPr>
          <w:rStyle w:val="C3"/>
          <w:rFonts w:ascii="Courier New" w:hAnsi="Courier New"/>
          <w:b w:val="1"/>
          <w:sz w:val="24"/>
        </w:rPr>
        <w:t>Q</w:t>
      </w:r>
      <w:r>
        <w:rPr>
          <w:rStyle w:val="C3"/>
          <w:rFonts w:ascii="Courier New" w:hAnsi="Courier New"/>
          <w:b w:val="1"/>
          <w:sz w:val="24"/>
        </w:rPr>
        <w:t>U</w:t>
      </w:r>
      <w:r>
        <w:rPr>
          <w:rStyle w:val="C3"/>
          <w:rFonts w:ascii="Courier New" w:hAnsi="Courier New"/>
          <w:b w:val="1"/>
          <w:sz w:val="24"/>
        </w:rPr>
        <w:t>E</w:t>
      </w:r>
      <w:r>
        <w:rPr>
          <w:rStyle w:val="C3"/>
          <w:rFonts w:ascii="Courier New" w:hAnsi="Courier New"/>
          <w:b w:val="1"/>
          <w:sz w:val="24"/>
        </w:rPr>
        <w:t>D</w:t>
      </w:r>
      <w:r>
        <w:rPr>
          <w:rStyle w:val="C3"/>
          <w:rFonts w:ascii="Courier New" w:hAnsi="Courier New"/>
          <w:b w:val="1"/>
          <w:sz w:val="24"/>
        </w:rPr>
        <w:t>A</w:t>
      </w:r>
      <w:r>
        <w:rPr>
          <w:rStyle w:val="C3"/>
          <w:rFonts w:ascii="Courier New" w:hAnsi="Courier New"/>
          <w:b w:val="1"/>
          <w:sz w:val="24"/>
        </w:rPr>
        <w:t>N</w:t>
      </w:r>
      <w:r>
        <w:rPr>
          <w:rStyle w:val="C3"/>
          <w:rFonts w:ascii="Courier New" w:hAnsi="Courier New"/>
          <w:b w:val="1"/>
          <w:sz w:val="24"/>
        </w:rPr>
        <w:t xml:space="preserve"> </w:t>
      </w:r>
      <w:r>
        <w:rPr>
          <w:rStyle w:val="C3"/>
          <w:rFonts w:ascii="Courier New" w:hAnsi="Courier New"/>
          <w:sz w:val="24"/>
        </w:rPr>
        <w:t>exentas de esta normativa la ocupación de las aceras con mesas y sillas, la exposición de automotores y los comercios que se encuentran dentro del Area de Protección de Primer Orden, los que se regirán por sus Ordenanzas respectivas.</w:t>
      </w:r>
    </w:p>
    <w:p>
      <w:pPr>
        <w:ind w:firstLine="425"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w:t>
      </w:r>
      <w:r>
        <w:rPr>
          <w:rStyle w:val="C3"/>
          <w:rFonts w:ascii="Courier New" w:hAnsi="Courier New"/>
          <w:b w:val="1"/>
          <w:sz w:val="24"/>
        </w:rPr>
        <w:t>D</w:t>
      </w:r>
      <w:r>
        <w:rPr>
          <w:rStyle w:val="C3"/>
          <w:rFonts w:ascii="Courier New" w:hAnsi="Courier New"/>
          <w:b w:val="1"/>
          <w:sz w:val="24"/>
        </w:rPr>
        <w:t>E</w:t>
      </w:r>
      <w:r>
        <w:rPr>
          <w:rStyle w:val="C3"/>
          <w:rFonts w:ascii="Courier New" w:hAnsi="Courier New"/>
          <w:b w:val="1"/>
          <w:sz w:val="24"/>
        </w:rPr>
        <w:t>R</w:t>
      </w:r>
      <w:r>
        <w:rPr>
          <w:rStyle w:val="C3"/>
          <w:rFonts w:ascii="Courier New" w:hAnsi="Courier New"/>
          <w:b w:val="1"/>
          <w:sz w:val="24"/>
        </w:rPr>
        <w:t>O</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S</w:t>
      </w:r>
      <w:r>
        <w:rPr>
          <w:rStyle w:val="C3"/>
          <w:rFonts w:ascii="Courier New" w:hAnsi="Courier New"/>
          <w:b w:val="1"/>
          <w:sz w:val="24"/>
        </w:rPr>
        <w:t>E</w:t>
      </w:r>
      <w:r>
        <w:rPr>
          <w:rStyle w:val="C3"/>
          <w:rFonts w:ascii="Courier New" w:hAnsi="Courier New"/>
          <w:b w:val="1"/>
          <w:sz w:val="24"/>
        </w:rPr>
        <w:t xml:space="preserve"> </w:t>
      </w:r>
      <w:r>
        <w:rPr>
          <w:rStyle w:val="C3"/>
          <w:rFonts w:ascii="Courier New" w:hAnsi="Courier New"/>
          <w:sz w:val="24"/>
        </w:rPr>
        <w:t>toda Ordenanza que se oponga a la presente.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5</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CINCO DIAS DEL MES DE DICIEMBRE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w:abstractNum w:abstractNumId="0">
    <w:nsid w:val="31652730"/>
    <w:multiLevelType w:val="multilevel"/>
    <w:lvl w:ilvl="0">
      <w:start w:val="1"/>
      <w:numFmt w:val="lowerLetter"/>
      <w:suff w:val="tab"/>
      <w:lvlText w:val="%1)"/>
      <w:lvlJc w:val="left"/>
      <w:pPr>
        <w:ind w:hanging="435" w:left="1144"/>
        <w:tabs>
          <w:tab w:val="left" w:pos="1144"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38F13B23"/>
    <w:multiLevelType w:val="hybridMultilevel"/>
    <w:lvl w:ilvl="0" w:tplc="6CE50DE7">
      <w:start w:val="0"/>
      <w:numFmt w:val="bullet"/>
      <w:suff w:val="tab"/>
      <w:lvlText w:val="-"/>
      <w:lvlJc w:val="left"/>
      <w:pPr>
        <w:ind w:hanging="375" w:left="943"/>
        <w:tabs>
          <w:tab w:val="left" w:pos="943"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 w:numId="2">
    <w:abstractNumId w:val="1"/>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2002-12-13T15:12:00Z</dcterms:created>
  <cp:lastModifiedBy>Ethan Puglia</cp:lastModifiedBy>
  <cp:lastPrinted>2002-11-18T14:59:00Z</cp:lastPrinted>
  <dcterms:modified xsi:type="dcterms:W3CDTF">2019-03-28T17:33:47Z</dcterms:modified>
  <cp:revision>9</cp:revision>
  <dc:title>ORDENANZA  Nº  5354</dc:title>
</cp:coreProperties>
</file>