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0EBF26" Type="http://schemas.openxmlformats.org/officeDocument/2006/relationships/officeDocument" Target="/word/document.xml" /><Relationship Id="coreR170EBF2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6026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3092 y la Disposición Nº 82/01 del Registro Nacional de Armas en lo que se refiere a la comercialización de artefactos pirotécnicos clasificados por el Decreto Nº 302/83 como de venta libre (clases A-11 y B-3);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indispensable legislar sobre la comercialización de artefactos pirotécnicos atento a la normativa actual, a los fines de imponer un estricto control, para prevenir accidentes tanto a usuarios como a comerciantes, desalentando la venta marginal y golondrina;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 identificar a los comerciantes que llevan adelante esta actividad, a los cuales le asiste la responsabilidad de actuar en un todo de acuerdo con la reglamentación vigente.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>H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 la Disposición Nº 082/01 del RENAR, respecto de la comercialización de artefactos pirotécnicos y su autorización.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B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período de comercialización desde el 1º de diciembre al 15 de enero del año siguiente, plazo por el cual regirá la autorización correspondiente.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APLICAR </w:t>
      </w:r>
      <w:r>
        <w:rPr>
          <w:rStyle w:val="C3"/>
          <w:rFonts w:ascii="Courier New" w:hAnsi="Courier New"/>
          <w:sz w:val="24"/>
        </w:rPr>
        <w:t>una tasa para la actividad de comercialización de artefactos pirotécnicos, para el período indicado en el Art. 2, la cual se expresará en unidades de tasa (u/t), que surgirá de aplicar el precio por litro de nafta especial de menor costo en la Ciudad de Alta Gracia por la cantidad de unidades de tasa.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Se distinguirán tres (3) categorías: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Comercialización en Kioscos hasta cinco (5) bultos:</w:t>
      </w:r>
    </w:p>
    <w:p>
      <w:pPr>
        <w:ind w:left="1144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Treinta (30) unidades de Tasa.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Comercialización minorista hasta veinte (20) bultos:</w:t>
      </w:r>
    </w:p>
    <w:p>
      <w:pPr>
        <w:ind w:left="1144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Sesenta (60) unidades de Tasa.</w:t>
      </w: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Comercialización Mayorista hasta cincuenta (50) bultos:</w:t>
      </w:r>
    </w:p>
    <w:p>
      <w:pPr>
        <w:ind w:firstLine="425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Cien (100) unidades de Tasa.</w:t>
      </w:r>
    </w:p>
    <w:p>
      <w:pPr>
        <w:ind w:firstLine="425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TODO</w:t>
      </w:r>
      <w:r>
        <w:rPr>
          <w:rStyle w:val="C3"/>
          <w:rFonts w:ascii="Courier New" w:hAnsi="Courier New"/>
          <w:sz w:val="24"/>
        </w:rPr>
        <w:t xml:space="preserve"> comercio que pretenda realizar la actividad mencionada deberá someterse a la siguiente normativa, y no se podrá incorporar como actividad accidental o complementaria a la que vienen desarrollando, aún cuando estuvieran habilitadas y/o autorizadas anteriormente.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FIJASE </w:t>
      </w:r>
      <w:r>
        <w:rPr>
          <w:rStyle w:val="C3"/>
          <w:rFonts w:ascii="Courier New" w:hAnsi="Courier New"/>
          <w:sz w:val="24"/>
        </w:rPr>
        <w:t>como Autoridad de Aplicación y Control local la Dirección de Policía Municipal, Area Inspección General y Medio Ambiente.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b w:val="1"/>
          <w:sz w:val="24"/>
        </w:rPr>
        <w:t xml:space="preserve"> PARA</w:t>
      </w:r>
      <w:r>
        <w:rPr>
          <w:rStyle w:val="C3"/>
          <w:rFonts w:ascii="Courier New" w:hAnsi="Courier New"/>
          <w:sz w:val="24"/>
        </w:rPr>
        <w:t xml:space="preserve"> autorizar y habilitar la comercialización deberán presentarse ante la Dirección de Policía Municipal, solicitar los formularios de Declaración Jurada y de Pago de las Tasas del Renar y Municipal para luego someterse a la inspección.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Art.7:</w:t>
      </w:r>
      <w:r>
        <w:rPr>
          <w:rStyle w:val="C3"/>
          <w:rFonts w:ascii="Courier New" w:hAnsi="Courier New"/>
          <w:b w:val="1"/>
          <w:sz w:val="24"/>
        </w:rPr>
        <w:t xml:space="preserve"> QUEDA </w:t>
      </w:r>
      <w:r>
        <w:rPr>
          <w:rStyle w:val="C3"/>
          <w:rFonts w:ascii="Courier New" w:hAnsi="Courier New"/>
          <w:sz w:val="24"/>
        </w:rPr>
        <w:t>totalmente prohibida la venta ambulante de artefactos pirotécnicos en todo el ámbito de la Ciudad de Alta Gracia.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...///3.-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Art.8:</w:t>
      </w:r>
      <w:r>
        <w:rPr>
          <w:rStyle w:val="C3"/>
          <w:rFonts w:ascii="Courier New" w:hAnsi="Courier New"/>
          <w:b w:val="1"/>
          <w:sz w:val="24"/>
        </w:rPr>
        <w:t xml:space="preserve"> ANTE </w:t>
      </w:r>
      <w:r>
        <w:rPr>
          <w:rStyle w:val="C3"/>
          <w:rFonts w:ascii="Courier New" w:hAnsi="Courier New"/>
          <w:sz w:val="24"/>
        </w:rPr>
        <w:t>la inobservancia de la presente, la Autoridad de Control aplicará las sanciones previstas en el Art. 25 de la Ordenanza Nº 3092, y en caso de ser necesario requerirá el auxilio de la Fuerza Pública a los fines de hacer cumplir la normativa.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Art.9:</w:t>
      </w:r>
      <w:r>
        <w:rPr>
          <w:rStyle w:val="C3"/>
          <w:rFonts w:ascii="Courier New" w:hAnsi="Courier New"/>
          <w:b w:val="1"/>
          <w:sz w:val="24"/>
        </w:rPr>
        <w:t xml:space="preserve"> LA </w:t>
      </w:r>
      <w:r>
        <w:rPr>
          <w:rStyle w:val="C3"/>
          <w:rFonts w:ascii="Courier New" w:hAnsi="Courier New"/>
          <w:sz w:val="24"/>
        </w:rPr>
        <w:t>Autoridad de Aplicación y Control elevará un informe al Comité de Emergencias a los fines de que éste tenga localizado los puntos de ventas y el volumen de comercialización por cada uno, a los fines de incluirlos en el Programa de Prevención de Emergencias.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 xml:space="preserve">  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10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1652730"/>
    <w:multiLevelType w:val="multilevel"/>
    <w:lvl w:ilvl="0">
      <w:start w:val="1"/>
      <w:numFmt w:val="lowerLetter"/>
      <w:suff w:val="tab"/>
      <w:lvlText w:val="%1)"/>
      <w:lvlJc w:val="left"/>
      <w:pPr>
        <w:ind w:hanging="435" w:left="1144"/>
        <w:tabs>
          <w:tab w:val="left" w:pos="1144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2002-12-10T15:36:00Z</dcterms:created>
  <cp:lastModifiedBy>Ethan Puglia</cp:lastModifiedBy>
  <cp:lastPrinted>2002-11-18T14:59:00Z</cp:lastPrinted>
  <dcterms:modified xsi:type="dcterms:W3CDTF">2019-03-28T17:33:47Z</dcterms:modified>
  <cp:revision>12</cp:revision>
  <dc:title>ORDENANZA  Nº  5354</dc:title>
</cp:coreProperties>
</file>