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84AC5E8" Type="http://schemas.openxmlformats.org/officeDocument/2006/relationships/officeDocument" Target="/word/document.xml" /><Relationship Id="coreR484AC5E8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6041</w:t>
      </w: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516/02 iniciado por la Sra. Elba Vallejos solicitando exención de Tasa por Servicios a la Propiedad; y</w:t>
      </w:r>
    </w:p>
    <w:p>
      <w:pPr>
        <w:pStyle w:val="P5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solicitante es viuda, convive con su hijo y poseen ingresos escasos e inestables;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inmueble es de características humildes;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otorgar los beneficios de la Ordenanza Nº 5485, despacho aprobado por unanimidad en Sesión de fecha 12 de diciembre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FIJAR </w:t>
      </w:r>
      <w:r>
        <w:rPr>
          <w:rStyle w:val="C3"/>
          <w:rFonts w:ascii="Courier New" w:hAnsi="Courier New"/>
          <w:sz w:val="24"/>
        </w:rPr>
        <w:t>como cuota mensual a abonar en concepto de Tasa por Servicios a la Propiedad desde la sanción de la presente Ordenanza y hasta el 31 de diciembre de 2003 inclusive, la suma de PESOS TRES ($ 3.-), al inmueble designación catastral 3-01-326-012-000, conforme a lo establecido en la Ordenanza Nº 5485.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POR </w:t>
      </w:r>
      <w:r>
        <w:rPr>
          <w:rStyle w:val="C3"/>
          <w:rFonts w:ascii="Courier New" w:hAnsi="Courier New"/>
          <w:sz w:val="24"/>
        </w:rPr>
        <w:t>cada cuota abonada en término conforme a lo establecido en el Art. 1, se le eximirá de una cuota de la deuda.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EN </w:t>
      </w:r>
      <w:r>
        <w:rPr>
          <w:rStyle w:val="C3"/>
          <w:rFonts w:ascii="Courier New" w:hAnsi="Courier New"/>
          <w:sz w:val="24"/>
        </w:rPr>
        <w:t>caso de transferencia del inmueble designación catastral 3-01-326-012-000 el beneficio otorgado en la presente Ordenanza quedará sin efecto en forma automática.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4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DOCE DIAS DEL MES DE DICIEMBRE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2002-12-17T10:52:00Z</dcterms:created>
  <cp:lastModifiedBy>Ethan Puglia</cp:lastModifiedBy>
  <cp:lastPrinted>2002-12-16T12:58:00Z</cp:lastPrinted>
  <dcterms:modified xsi:type="dcterms:W3CDTF">2019-03-28T17:33:47Z</dcterms:modified>
  <cp:revision>8</cp:revision>
  <dc:title>ORDENANZA  Nº  5354</dc:title>
</cp:coreProperties>
</file>