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B1024" Type="http://schemas.openxmlformats.org/officeDocument/2006/relationships/officeDocument" Target="/word/document.xml" /><Relationship Id="coreR20B102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6053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744/02 iniciado por los Sres. Alberto Leonardo Paz y la Sra. Emma Raquel Flores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se desprende que se trata de un matrimonio que vive una situación con marcados límites económicos, dado que no perciben ingresos y padecen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que habitan es precaria;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12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desde la promulgación de la presente Ordenanza y hasta el 31 de diciembre de 2003 inclusive, la suma de PESOS TRES ($ 3.-), al inmueble designación catastral 01-01-382-001-000,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tres (3) cuotas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01-01-382-001-000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SOLICITAR </w:t>
      </w:r>
      <w:r>
        <w:rPr>
          <w:rStyle w:val="C3"/>
          <w:rFonts w:ascii="Courier New" w:hAnsi="Courier New"/>
          <w:sz w:val="24"/>
        </w:rPr>
        <w:t>al Departamento Ejecutivo interceda ante el procurador actuante a fin de que deje sin efecto lo actuado conforme a lo establecido en la cláusula 13 del convenio suscripto con el mismo.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2002-12-26T12:45:00Z</dcterms:created>
  <cp:lastModifiedBy>Ethan Puglia</cp:lastModifiedBy>
  <cp:lastPrinted>2002-10-28T12:49:00Z</cp:lastPrinted>
  <dcterms:modified xsi:type="dcterms:W3CDTF">2019-03-28T17:33:47Z</dcterms:modified>
  <cp:revision>7</cp:revision>
  <dc:title>ORDENANZA  Nº  5354</dc:title>
</cp:coreProperties>
</file>