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1FA9707" Type="http://schemas.openxmlformats.org/officeDocument/2006/relationships/officeDocument" Target="/word/document.xml" /><Relationship Id="coreR11FA970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6060</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563/02 iniciado por el Sr. Elio Dante Ludueña solicitando habilitación de una discoteca en calle Ramos Mejía N 23; y</w:t>
      </w:r>
    </w:p>
    <w:p>
      <w:pPr>
        <w:pStyle w:val="P5"/>
        <w:rPr>
          <w:rStyle w:val="C3"/>
          <w:rFonts w:ascii="Courier New" w:hAnsi="Courier New"/>
        </w:rPr>
      </w:pPr>
    </w:p>
    <w:p>
      <w:pPr>
        <w:pStyle w:val="P5"/>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según informe de Obras Privadas, el inmueble ubicado en calle Ramos Mejía Nº 23, designación catastral 3-1-197-16, se encuentra en Zona Residencial Mixta, donde este tipo de comercio no se encuentra previsto entre los usos para la zona;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Departamento Ejecutivo eleva el Expediente a este Concejo informando que de las constancias obrantes en el mismo, los solicitantes habrían cumplimentado con los requisitos establecido por la normativa vigente salvo lo que se refiere a lo previsto en la Ordenanza Nº 1294 que establece el uso del suelo para la zona;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en Sesión de fecha 12 de diciembre de 2002, y teniendo en cuenta que corresponde a este Cuerpo sólo autorizar el uso del suelo, siendo facultad del Departamento Ejecutivo otorgar la habilitación correspondiente si se cumplimenta con los requisitos establecidos por las Ordenanzas Vigentes;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este tipo de emprendimientos podría causar inconvenientes a los vecinos de la zona, no obstante ello y para garantizar la igualdad de posibilidades laborales, y atento al compromiso del propietario de minimizar cualquier tipo de molestias que pudiere originar, se resuelve por mayoría de Ley autorizar en forma provisoria el uso del suelo, condicionado al impacto negativo que, de concederse la habilitación, pudiere producir.</w:t>
      </w:r>
    </w:p>
    <w:p>
      <w:pPr>
        <w:pStyle w:val="P6"/>
        <w:rPr>
          <w:rStyle w:val="C3"/>
          <w:rFonts w:ascii="Courier New" w:hAnsi="Courier New"/>
        </w:rPr>
      </w:pPr>
    </w:p>
    <w:p>
      <w:pPr>
        <w:pStyle w:val="P6"/>
        <w:jc w:val="right"/>
        <w:rPr>
          <w:rStyle w:val="C3"/>
          <w:rFonts w:ascii="Courier New" w:hAnsi="Courier New"/>
        </w:rPr>
      </w:pPr>
      <w:r>
        <w:rPr>
          <w:rStyle w:val="C3"/>
          <w:rFonts w:ascii="Courier New" w:hAnsi="Courier New"/>
        </w:rPr>
        <w:t>...///</w:t>
      </w:r>
    </w:p>
    <w:p>
      <w:pPr>
        <w:pStyle w:val="P1"/>
        <w:rPr>
          <w:rStyle w:val="C3"/>
          <w:rFonts w:ascii="Courier New" w:hAnsi="Courier New"/>
        </w:rPr>
      </w:pPr>
    </w:p>
    <w:p>
      <w:pPr>
        <w:pStyle w:val="P1"/>
        <w:ind w:hanging="709"/>
        <w:jc w:val="left"/>
        <w:rPr>
          <w:rStyle w:val="C3"/>
          <w:rFonts w:ascii="Courier New" w:hAnsi="Courier New"/>
          <w:b w:val="1"/>
        </w:rPr>
      </w:pPr>
      <w:r>
        <w:rPr>
          <w:rStyle w:val="C3"/>
          <w:rFonts w:ascii="Courier New" w:hAnsi="Courier New"/>
          <w:b w:val="0"/>
        </w:rPr>
        <w:t>...///2.-</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forma precaria y provisoria por vía de excepción el uso del suelo en el local ubicado en calle Ramos Mejía Nº 23 para realizar el emprendimiento de Confitería Bailable; por el término de sesenta (60) días a contar de su habilitación, si la misma correspondiere.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L</w:t>
      </w:r>
      <w:r>
        <w:rPr>
          <w:rStyle w:val="C3"/>
          <w:rFonts w:ascii="Courier New" w:hAnsi="Courier New"/>
          <w:b w:val="1"/>
          <w:sz w:val="24"/>
        </w:rPr>
        <w:t xml:space="preserve"> </w:t>
      </w:r>
      <w:r>
        <w:rPr>
          <w:rStyle w:val="C3"/>
          <w:rFonts w:ascii="Courier New" w:hAnsi="Courier New"/>
          <w:sz w:val="24"/>
        </w:rPr>
        <w:t>cabo del plazo establecido y conforme a la verificación que se realice del impacto que pudiere producir, deberá solicitarse nuevamente la autorización a este Concejo.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w:t>
      </w:r>
      <w:r>
        <w:rPr>
          <w:rStyle w:val="C3"/>
          <w:rFonts w:ascii="Courier New" w:hAnsi="Courier New"/>
          <w:b w:val="1"/>
          <w:sz w:val="24"/>
        </w:rPr>
        <w:t xml:space="preserve">PROHÍBASE </w:t>
      </w:r>
      <w:r>
        <w:rPr>
          <w:rStyle w:val="C3"/>
          <w:rFonts w:ascii="Courier New" w:hAnsi="Courier New"/>
          <w:sz w:val="24"/>
        </w:rPr>
        <w:t>el estacionamiento de vehículos en la cuadra donde se encuentra el comercio, en ambas aceras, durante los horarios de funcionamiento del mismo.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DOCE DIAS DEL MES DE DICIEMBRE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2002-12-18T15:57:00Z</dcterms:created>
  <cp:lastModifiedBy>Ethan Puglia</cp:lastModifiedBy>
  <cp:lastPrinted>2002-12-17T11:00:00Z</cp:lastPrinted>
  <dcterms:modified xsi:type="dcterms:W3CDTF">2019-03-28T17:33:47Z</dcterms:modified>
  <cp:revision>10</cp:revision>
  <dc:title>ORDENANZA  Nº  5354</dc:title>
</cp:coreProperties>
</file>