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E40C5DC" Type="http://schemas.openxmlformats.org/officeDocument/2006/relationships/officeDocument" Target="/word/document.xml" /><Relationship Id="coreRE40C5D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6086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Manuel Bernardino Navarro solicitando una quita en la deuda que mantiene con el Municipio;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argumentos esgrimidos por el contribuyente son atendibles;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manifiesta voluntad de pago dentro de sus posibilidades económicas;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color w:val="FF0000"/>
          <w:sz w:val="24"/>
        </w:rPr>
      </w:pPr>
      <w:r>
        <w:rPr>
          <w:rStyle w:val="C3"/>
          <w:rFonts w:ascii="Courier New" w:hAnsi="Courier New"/>
          <w:sz w:val="24"/>
        </w:rPr>
        <w:t>Que evaluada la situación planteada por Comisión de Hacienda, la misma emite despacho accediendo a lo solicitado, despacho aprobado por unanimidad en Sesión de fecha 30 de diciembre de 2002.</w:t>
      </w:r>
      <w:r>
        <w:rPr>
          <w:rStyle w:val="C3"/>
          <w:rFonts w:ascii="Courier New" w:hAnsi="Courier New"/>
          <w:color w:val="FF0000"/>
          <w:sz w:val="24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otorgar al solicitante un plan de pagos a valores históricos y de acuerdo a sus posibilidades por las deudas que mantiene con el Municipio hasta diciembre del 2002 inclusive, en concepto de Tasa por Servicios de Inspección General e Higiene, Comercio Legajo Nº 3876 y de Tasa por Servicios a la Propiedad, inmueble designación catastral 3-01-258-031-000.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2003-01-03T12:56:00Z</dcterms:created>
  <cp:lastModifiedBy>Ethan Puglia</cp:lastModifiedBy>
  <cp:lastPrinted>2003-01-03T12:53:00Z</cp:lastPrinted>
  <dcterms:modified xsi:type="dcterms:W3CDTF">2019-03-28T17:33:48Z</dcterms:modified>
  <cp:revision>5</cp:revision>
  <dc:title>ORDENANZA  Nº  5354</dc:title>
</cp:coreProperties>
</file>