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C1EABCC" Type="http://schemas.openxmlformats.org/officeDocument/2006/relationships/officeDocument" Target="/word/document.xml" /><Relationship Id="coreR3C1EABC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6087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585/02 iniciado por la Sra. María Ester Carreras solicitando exención de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refleja una situación con límites económicos;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color w:val="FF0000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Hacienda, la misma emite despacho accediendo a otorgar una exención parcial, despacho aprobado por unanimidad en Sesión de fecha 30 de diciembre de 2002.</w:t>
      </w:r>
      <w:r>
        <w:rPr>
          <w:rStyle w:val="C3"/>
          <w:rFonts w:ascii="Courier New" w:hAnsi="Courier New"/>
          <w:color w:val="FF0000"/>
          <w:sz w:val="24"/>
        </w:rPr>
        <w:t xml:space="preserve"> 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 deuda que en concepto de Tasa por Servicios de Administración y Mantenimiento de los Cementerios mantiene con el Municipio la contribuyente, Identificación Nº 005334, autorizando al Departamento Ejecutivo a conceder por el saldo no eximido, un plan de pagos a valores históricos de acuerdo a posibilidades de la solicitante.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M</w:t>
      </w:r>
      <w:r>
        <w:rPr>
          <w:rStyle w:val="C3"/>
          <w:rFonts w:ascii="Courier New" w:hAnsi="Courier New"/>
          <w:b w:val="1"/>
          <w:sz w:val="24"/>
        </w:rPr>
        <w:t>ANTEN</w:t>
      </w:r>
      <w:r>
        <w:rPr>
          <w:rStyle w:val="C3"/>
          <w:rFonts w:ascii="Courier New" w:hAnsi="Courier New"/>
          <w:b w:val="1"/>
          <w:sz w:val="24"/>
        </w:rPr>
        <w:t xml:space="preserve">ER </w:t>
      </w:r>
      <w:r>
        <w:rPr>
          <w:rStyle w:val="C3"/>
          <w:rFonts w:ascii="Courier New" w:hAnsi="Courier New"/>
          <w:sz w:val="24"/>
        </w:rPr>
        <w:t>para el año 2003 el monto de la tasa que actualmente tiene establecida en forma bimestral de PESOS CINCO ($ 5.-).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2003-01-03T13:45:00Z</dcterms:created>
  <cp:lastModifiedBy>Ethan Puglia</cp:lastModifiedBy>
  <cp:lastPrinted>2003-01-03T12:53:00Z</cp:lastPrinted>
  <dcterms:modified xsi:type="dcterms:W3CDTF">2019-03-28T17:33:48Z</dcterms:modified>
  <cp:revision>6</cp:revision>
  <dc:title>ORDENANZA  Nº  5354</dc:title>
</cp:coreProperties>
</file>