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14B33A6" Type="http://schemas.openxmlformats.org/officeDocument/2006/relationships/officeDocument" Target="/word/document.xml" /><Relationship Id="coreR514B33A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6121</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228/I/02 iniciado con nota de la Sra. Cristina Herrera y del Sr. Omar Leiría solicitando exención de Tasa por Servicios a la Propiedad;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del estudio socioeconómico realizado surge que en el inmueble conviven tres (3) núcleos familiares que no cuentan con las condiciones edilicias necesarias, presentando características de pobreza con parámetros de hacinamiento;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eximir la deuda y fijando cuota social para el corriente año, despacho aprobado por unanimidad en Sesión de fecha 27 de marzo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EXIMIR </w:t>
      </w:r>
      <w:r>
        <w:rPr>
          <w:rStyle w:val="C3"/>
          <w:rFonts w:ascii="Courier New" w:hAnsi="Courier New"/>
          <w:sz w:val="24"/>
        </w:rPr>
        <w:t>en un cien por ciento (100%) la deuda que a la fecha mantiene con el Municipio el inmueble designación catastral 3-01-037-006-000.</w:t>
      </w: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FIJAR </w:t>
      </w:r>
      <w:r>
        <w:rPr>
          <w:rStyle w:val="C3"/>
          <w:rFonts w:ascii="Courier New" w:hAnsi="Courier New"/>
          <w:sz w:val="24"/>
        </w:rPr>
        <w:t>como cuota mensual a abonar en concepto de Tasa por Servicios a la Propiedad a partir de la Sanción de la presente Ordenanza y por el corriente año, la suma de PESOS TRES ($ 3.-), por mes al inmueble designación catastral 03-01-037-006-000.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MARZO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2003-04-01T16:27:00Z</dcterms:created>
  <cp:lastModifiedBy>Ethan Puglia</cp:lastModifiedBy>
  <cp:lastPrinted>2002-12-16T12:58:00Z</cp:lastPrinted>
  <dcterms:modified xsi:type="dcterms:W3CDTF">2019-03-28T17:33:49Z</dcterms:modified>
  <cp:revision>9</cp:revision>
  <dc:title>ORDENANZA  Nº  5354</dc:title>
</cp:coreProperties>
</file>