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9A1D81E" Type="http://schemas.openxmlformats.org/officeDocument/2006/relationships/officeDocument" Target="/word/document.xml" /><Relationship Id="coreR29A1D81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6134</w:t>
      </w:r>
    </w:p>
    <w:p>
      <w:pPr>
        <w:pStyle w:val="P4"/>
        <w:rPr>
          <w:rStyle w:val="C3"/>
          <w:rFonts w:ascii="Courier New" w:hAnsi="Courier New"/>
          <w:color w:val="000000"/>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Artículo 112 de la Carta Orgánica Municipal que establece: “Por Ordenanza se establece el procedimiento de control preventivo y posterior del Tribunal de Cuentas .....”, y El Artículo 113 de la Carta Orgánica Municipal: “Requerimiento de Datos”; y</w:t>
      </w:r>
    </w:p>
    <w:p>
      <w:pPr>
        <w:pStyle w:val="P5"/>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es atribución del Tribunal de Cuentas Municipal revisar las cuentas, visar todos los actos administrativos que comprometan gastos, observar las ordenes de pago, fiscalizar el destino de los fondos, las operaciones financieras, entre otras;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celeridad en la remisión de estos datos e informes al seno del Tribunal de Cuentas, coadyuva con la eficiente tarea de los Señores Tribunalicios, como así también con la eficiencia del Departamento Ejecutivo;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las funciones del Tribunal de Cuentas Municipal se rigen por la Carta Orgánica Municipal, Ordenanzas y supletoriamente por la Ley Orgánica de Contabilidad, Presupuesto y Administración y también por la Carta Orgánica del Tribunal de Cuentas de la Provincia;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el Tribunal de Cuentas tiene rango constitucional; sus integrantes son electos en Comicios;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la Ley Orgánica del Tribunal de Cuentas de la Provincia (Ley Nº 7630 y sus modificatorias) establece entre otras cosas: Art. 19: Atribuciones de intervenir preventivamente dentro de los diez (10) días de la toma de conocimiento; informar a la Legislatura sobre cuentas de inversión del presupuesto anterior, al cuarto mes de sesiones;  Art. 21: Facultades  de Control, Punto 4: Re-</w:t>
      </w:r>
    </w:p>
    <w:p>
      <w:pPr>
        <w:pStyle w:val="P6"/>
        <w:jc w:val="right"/>
        <w:rPr>
          <w:rStyle w:val="C3"/>
          <w:rFonts w:ascii="Courier New" w:hAnsi="Courier New"/>
        </w:rPr>
      </w:pPr>
      <w:r>
        <w:rPr>
          <w:rStyle w:val="C3"/>
          <w:rFonts w:ascii="Courier New" w:hAnsi="Courier New"/>
        </w:rPr>
        <w:t>...///</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ind w:hanging="709"/>
        <w:rPr>
          <w:rStyle w:val="C3"/>
          <w:rFonts w:ascii="Courier New" w:hAnsi="Courier New"/>
        </w:rPr>
      </w:pPr>
      <w:r>
        <w:rPr>
          <w:rStyle w:val="C3"/>
          <w:rFonts w:ascii="Courier New" w:hAnsi="Courier New"/>
        </w:rPr>
        <w:t>...///2.-</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querir rendición de cuentas con carácter conminativo y fijar plazo perentorio para la presentación de los que fueran remisos o morosos: Art. 30: Plazos para la presentación de las rendiciones de Cunetas: lo fija el Tribunal; Art. 50: Procedimiento Administrativo de Revisión de Cuentas, en el párrafo segundo, - ante la no presentación -, señala el plazo que no será menor de quince (15) días ni más de treinta (30) días desde la notificación; pudiendo ampliar plazos; Art. 82: Cómputo de términos: días hábiles; con excepción de los de Rendición de Cuentas Universales, en este caso se cuenta por mes calendario;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queda manifiesto que se trata de un órgano básico del sistema democrático, con funciones de contralor estrechamente vinculado al Concejo Deliberante;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si la publicidad de los actos de gobierno es fundamental, para ello se necesita de la más precisa y clara información del manejo de los recursos, fondos y erogaciones, todo ello en Tiempo Oportuno (Propio); caso contrario sería ilusorio el ejercicio del derecho a una información cierta;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si el Tribunal de Cuentas Municipal tiene obligaciones que cumplir en términos concretos, recíprocamente debe estar facultado para solicitar al Departamento Ejecutivo respuestas en determinados plazos.</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...///3.-</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FIJASE </w:t>
      </w:r>
      <w:r>
        <w:rPr>
          <w:rStyle w:val="C3"/>
          <w:rFonts w:ascii="Courier New" w:hAnsi="Courier New"/>
          <w:sz w:val="24"/>
        </w:rPr>
        <w:t>para el normal y mejor control preventivo y posterior de los actos administrativos sometidos al control del Tribunal de Cuentas Municipal, plazos de tiempo, dentro de los cuales el Departamento Ejecutivo debe contestar lo requerido o remitir la documentación solicitada, al seno de dicho Tribunal.</w:t>
      </w:r>
    </w:p>
    <w:p>
      <w:pPr>
        <w:pStyle w:val="P6"/>
        <w:rPr>
          <w:rStyle w:val="C3"/>
          <w:rFonts w:ascii="Courier New" w:hAnsi="Courier New"/>
        </w:rPr>
      </w:pPr>
      <w:r>
        <w:rPr>
          <w:rStyle w:val="C3"/>
          <w:rFonts w:ascii="Courier New" w:hAnsi="Courier New"/>
        </w:rPr>
        <w:t>El plazo de tiempo es fijado para cada caso en particular, por el Tribunal de Cuentas Municipal, no pudiendo ser el mismo inferior a cinco (5) días hábiles, en ningún caso.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LA </w:t>
      </w:r>
      <w:r>
        <w:rPr>
          <w:rStyle w:val="C3"/>
          <w:rFonts w:ascii="Courier New" w:hAnsi="Courier New"/>
          <w:sz w:val="24"/>
        </w:rPr>
        <w:t>falta de respuesta a lo solicitado por el Tribunal de Cuentas, configura seria irregularidad.</w:t>
      </w:r>
    </w:p>
    <w:p>
      <w:pPr>
        <w:ind w:hanging="709" w:left="709"/>
        <w:jc w:val="both"/>
        <w:rPr>
          <w:rStyle w:val="C3"/>
          <w:rFonts w:ascii="Courier New" w:hAnsi="Courier New"/>
          <w:sz w:val="24"/>
        </w:rPr>
      </w:pPr>
      <w:r>
        <w:rPr>
          <w:rStyle w:val="C3"/>
          <w:rFonts w:ascii="Courier New" w:hAnsi="Courier New"/>
          <w:sz w:val="24"/>
        </w:rPr>
        <w:t xml:space="preserve"> </w:t>
      </w: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MARZO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2003-04-04T13:46:00Z</dcterms:created>
  <cp:lastModifiedBy>Ethan Puglia</cp:lastModifiedBy>
  <cp:lastPrinted>2003-06-05T14:51:00Z</cp:lastPrinted>
  <dcterms:modified xsi:type="dcterms:W3CDTF">2019-03-28T17:33:49Z</dcterms:modified>
  <cp:revision>20</cp:revision>
  <dc:title>ORDENANZA  Nº  5354</dc:title>
</cp:coreProperties>
</file>