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DC239F" Type="http://schemas.openxmlformats.org/officeDocument/2006/relationships/officeDocument" Target="/word/document.xml" /><Relationship Id="coreR3BDC23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614</w:t>
      </w:r>
      <w:r>
        <w:rPr>
          <w:rStyle w:val="C3"/>
          <w:b w:val="1"/>
          <w:sz w:val="24"/>
          <w:u w:val="single"/>
        </w:rPr>
        <w:t>7</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1098/02 iniciado por la Sra. María Isabel Antelo de Bitschin solicitando exención de deuda y de cuotas actuales de Tasa por Servicios de Administración y Mantenimiento de los Cementerios;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solicita la exención de las Identificaciones 4346 y 4350 donde se encuentran sepultados sus padres;</w:t>
      </w:r>
    </w:p>
    <w:p>
      <w:pPr>
        <w:pStyle w:val="P1"/>
        <w:ind w:left="709"/>
        <w:jc w:val="both"/>
        <w:rPr>
          <w:rStyle w:val="C3"/>
          <w:sz w:val="24"/>
        </w:rPr>
      </w:pPr>
    </w:p>
    <w:p>
      <w:pPr>
        <w:pStyle w:val="P1"/>
        <w:ind w:left="709"/>
        <w:jc w:val="both"/>
        <w:rPr>
          <w:rStyle w:val="C3"/>
          <w:sz w:val="24"/>
        </w:rPr>
      </w:pPr>
      <w:r>
        <w:rPr>
          <w:rStyle w:val="C3"/>
          <w:sz w:val="24"/>
        </w:rPr>
        <w:t>Que el estudio socioeconómico realizado indica que se trata de un matrimonio de avanzada edad con escasos ingresos provenientes de una jubilación que además tienen gastos en medicamentos, ya que ambos cónyuges tienen problemas de salud;</w:t>
      </w:r>
    </w:p>
    <w:p>
      <w:pPr>
        <w:pStyle w:val="P1"/>
        <w:ind w:left="709"/>
        <w:jc w:val="both"/>
        <w:rPr>
          <w:rStyle w:val="C3"/>
          <w:sz w:val="24"/>
        </w:rPr>
      </w:pPr>
    </w:p>
    <w:p>
      <w:pPr>
        <w:pStyle w:val="P1"/>
        <w:ind w:left="709"/>
        <w:jc w:val="both"/>
        <w:rPr>
          <w:rStyle w:val="C3"/>
          <w:sz w:val="24"/>
        </w:rPr>
      </w:pPr>
      <w:r>
        <w:rPr>
          <w:rStyle w:val="C3"/>
          <w:sz w:val="24"/>
        </w:rPr>
        <w:t>Que en entrevista personal mantenida por la peticionante con los miembros de la Comisión de Hacienda, la misma manifiesta su voluntad de dar de baja ambas sepulturas ya que no pueden afrontar el pago de las tasas;</w:t>
      </w:r>
    </w:p>
    <w:p>
      <w:pPr>
        <w:pStyle w:val="P1"/>
        <w:ind w:left="709"/>
        <w:jc w:val="both"/>
        <w:rPr>
          <w:rStyle w:val="C3"/>
          <w:sz w:val="24"/>
        </w:rPr>
      </w:pPr>
    </w:p>
    <w:p>
      <w:pPr>
        <w:pStyle w:val="P1"/>
        <w:ind w:left="709"/>
        <w:jc w:val="both"/>
        <w:rPr>
          <w:rStyle w:val="C3"/>
          <w:sz w:val="24"/>
        </w:rPr>
      </w:pPr>
      <w:r>
        <w:rPr>
          <w:rStyle w:val="C3"/>
          <w:sz w:val="24"/>
        </w:rPr>
        <w:t>Que evaluado el contenido del Expediente por Comisión de Hacienda, la misma emite despacho otorgando una exención parcial y facilitando el pago del saldo, despacho aprobado por unanimidad en Sesión de fecha 10 de abril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E</w:t>
      </w:r>
      <w:r>
        <w:rPr>
          <w:rStyle w:val="C3"/>
          <w:b w:val="1"/>
          <w:sz w:val="24"/>
        </w:rPr>
        <w:t>X</w:t>
      </w:r>
      <w:r>
        <w:rPr>
          <w:rStyle w:val="C3"/>
          <w:b w:val="1"/>
          <w:sz w:val="24"/>
        </w:rPr>
        <w:t>I</w:t>
      </w:r>
      <w:r>
        <w:rPr>
          <w:rStyle w:val="C3"/>
          <w:b w:val="1"/>
          <w:sz w:val="24"/>
        </w:rPr>
        <w:t>M</w:t>
      </w:r>
      <w:r>
        <w:rPr>
          <w:rStyle w:val="C3"/>
          <w:b w:val="1"/>
          <w:sz w:val="24"/>
        </w:rPr>
        <w:t>I</w:t>
      </w:r>
      <w:r>
        <w:rPr>
          <w:rStyle w:val="C3"/>
          <w:b w:val="1"/>
          <w:sz w:val="24"/>
        </w:rPr>
        <w:t>R</w:t>
      </w:r>
      <w:r>
        <w:rPr>
          <w:rStyle w:val="C3"/>
          <w:sz w:val="24"/>
        </w:rPr>
        <w:t xml:space="preserve"> en un setenta por ciento (70%) la deuda que a la fecha mantiene con el Municipio la solicitante en concepto de Tasa por Servicios de Administración y Mantenimiento de los Cementerios, Identificaciones Nº 4346 y 4350, autorizando al Departamento Ejecutivo a otorgar por el treinta por ciento (30%) restante un plan de pagos a valores históricos de acuerdo a las Ordenanzas vigentes.</w:t>
      </w:r>
    </w:p>
    <w:p>
      <w:pPr>
        <w:pStyle w:val="P1"/>
        <w:jc w:val="both"/>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S</w:t>
      </w:r>
      <w:r>
        <w:rPr>
          <w:rStyle w:val="C3"/>
          <w:b w:val="1"/>
          <w:sz w:val="24"/>
        </w:rPr>
        <w:t>O</w:t>
      </w:r>
      <w:r>
        <w:rPr>
          <w:rStyle w:val="C3"/>
          <w:b w:val="1"/>
          <w:sz w:val="24"/>
        </w:rPr>
        <w:t>L</w:t>
      </w:r>
      <w:r>
        <w:rPr>
          <w:rStyle w:val="C3"/>
          <w:b w:val="1"/>
          <w:sz w:val="24"/>
        </w:rPr>
        <w:t>I</w:t>
      </w:r>
      <w:r>
        <w:rPr>
          <w:rStyle w:val="C3"/>
          <w:b w:val="1"/>
          <w:sz w:val="24"/>
        </w:rPr>
        <w:t>C</w:t>
      </w:r>
      <w:r>
        <w:rPr>
          <w:rStyle w:val="C3"/>
          <w:b w:val="1"/>
          <w:sz w:val="24"/>
        </w:rPr>
        <w:t>I</w:t>
      </w:r>
      <w:r>
        <w:rPr>
          <w:rStyle w:val="C3"/>
          <w:b w:val="1"/>
          <w:sz w:val="24"/>
        </w:rPr>
        <w:t>T</w:t>
      </w:r>
      <w:r>
        <w:rPr>
          <w:rStyle w:val="C3"/>
          <w:b w:val="1"/>
          <w:sz w:val="24"/>
        </w:rPr>
        <w:t>A</w:t>
      </w:r>
      <w:r>
        <w:rPr>
          <w:rStyle w:val="C3"/>
          <w:b w:val="1"/>
          <w:sz w:val="24"/>
        </w:rPr>
        <w:t>R</w:t>
      </w:r>
      <w:r>
        <w:rPr>
          <w:rStyle w:val="C3"/>
          <w:b w:val="1"/>
          <w:sz w:val="24"/>
        </w:rPr>
        <w:t xml:space="preserve"> </w:t>
      </w:r>
      <w:r>
        <w:rPr>
          <w:rStyle w:val="C3"/>
          <w:sz w:val="24"/>
        </w:rPr>
        <w:t>al Departamento Ejecutivo interceda ante el procurador interviniente en el juicio iniciado para perseguir el cobro de lo adeudado, para que cancele lo actuado y se desestimen los honorarios.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w:t>
      </w:r>
      <w:r>
        <w:rPr>
          <w:rStyle w:val="C3"/>
          <w:b w:val="1"/>
          <w:sz w:val="24"/>
          <w:u w:val="single"/>
        </w:rPr>
        <w:t>3</w:t>
      </w:r>
      <w:r>
        <w:rPr>
          <w:rStyle w:val="C3"/>
          <w:b w:val="1"/>
          <w:sz w:val="24"/>
          <w:u w:val="single"/>
        </w:rPr>
        <w:t>:</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DIEZ DIAS DEL MES DE ABRIL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2003-04-10T16:06:00Z</dcterms:created>
  <cp:lastModifiedBy>Ethan Puglia</cp:lastModifiedBy>
  <cp:lastPrinted>2002-09-16T12:10:00Z</cp:lastPrinted>
  <dcterms:modified xsi:type="dcterms:W3CDTF">2019-03-28T17:33:50Z</dcterms:modified>
  <cp:revision>9</cp:revision>
  <dc:title>1¾   «        M</dc:title>
</cp:coreProperties>
</file>