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295EA5" Type="http://schemas.openxmlformats.org/officeDocument/2006/relationships/officeDocument" Target="/word/document.xml" /><Relationship Id="coreR4A295E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6158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414/I/01 iniciado con nota de la Sra. Ana Bini de Cargnelutti solicitando extensión del beneficio otorgado mediante Ordenanza Nº 5601;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5601 se le concedió a la peticionante un descuento del cincuenta por ciento (50%) del monto que corresponde en concepto de Tasa por Servicios de Administración y Mantenimiento de los Cementerios – Identificación Nº 2544, por el año 2002;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del estudio socioeconómico realizado surge que la situación de la solicitante no ha variado;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conceder la extensión del beneficio otorgado mediante Ordenanza Nº 5601 y eximiendo el pago correspondiente a la Identificación Nº 1251, despacho aprobado por unanimidad en Sesión de fecha 16 de abril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EXTENDER </w:t>
      </w:r>
      <w:r>
        <w:rPr>
          <w:rStyle w:val="C3"/>
          <w:rFonts w:ascii="Courier New" w:hAnsi="Courier New"/>
          <w:sz w:val="24"/>
        </w:rPr>
        <w:t>el beneficio otorgado mediante Ordenanza Nº 5601 durante los períodos 2003 y 2004 inclusive, siempre que persistan las causas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ciento (100%) a la contribuyente Nº 1864 del pago de la deuda que mantiene en concepto de Tasa por Servicios de Administración y Mantenimiento de los Cementerios por la Identificación Nº 1251, manteniendo este beneficio hasta que se efectivice la baja.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COMUNICAR </w:t>
      </w:r>
      <w:r>
        <w:rPr>
          <w:rStyle w:val="C3"/>
          <w:rFonts w:ascii="Courier New" w:hAnsi="Courier New"/>
          <w:sz w:val="24"/>
        </w:rPr>
        <w:t>a la Sra. Ana Bini de Cargnelutti que debe concurrir a la oficina de Administración del Cementerio a fin de realizar el trámite correspondiente a la exhumación de los restos de Ida Bini.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2003-04-17T08:47:00Z</dcterms:created>
  <cp:lastModifiedBy>Ethan Puglia</cp:lastModifiedBy>
  <cp:lastPrinted>2003-04-17T08:46:00Z</cp:lastPrinted>
  <dcterms:modified xsi:type="dcterms:W3CDTF">2019-03-28T17:33:50Z</dcterms:modified>
  <cp:revision>7</cp:revision>
  <dc:title>ORDENANZA  Nº  5354</dc:title>
</cp:coreProperties>
</file>