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64C44BB" Type="http://schemas.openxmlformats.org/officeDocument/2006/relationships/officeDocument" Target="/word/document.xml" /><Relationship Id="coreR264C44B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6159</w:t>
      </w:r>
    </w:p>
    <w:p>
      <w:pPr>
        <w:pStyle w:val="P4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177/02 iniciado por la Sra. Berta Nigelia Gallo solicitando se revea lo resuelto mediante Ordenanza Nº 5625;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mediante Ordenanza Nº 5625 se fijó una Tasa mensual a abonar en concepto de Tasa por Servicios a la Propiedad por el inmueble designación catastral 04-01-080-014-000, de Pesos Tres ($3.-);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el estudio socioeconómico realizado indica que el inmueble citado consiste en una vivienda precaria;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del expediente se desprende que la solicitante es una persona mayor, enferma y carenciada;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color w:val="FF0000"/>
          <w:sz w:val="24"/>
        </w:rPr>
      </w:pPr>
      <w:r>
        <w:rPr>
          <w:rStyle w:val="C3"/>
          <w:rFonts w:ascii="Courier New" w:hAnsi="Courier New"/>
          <w:sz w:val="24"/>
        </w:rPr>
        <w:t>Que evaluado el contenido del expediente por Comisión de Hacienda, la misma emite despacho accediendo a lo solicitado, despacho aprobado por unanimidad en Sesión de fecha 16 de abril de 2003.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DEROGAR </w:t>
      </w:r>
      <w:r>
        <w:rPr>
          <w:rStyle w:val="C3"/>
          <w:rFonts w:ascii="Courier New" w:hAnsi="Courier New"/>
          <w:sz w:val="24"/>
        </w:rPr>
        <w:t>la Ordenanza Nº 5625 sancionada el 20 de junio de 2002.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EXIMIR</w:t>
      </w:r>
      <w:r>
        <w:rPr>
          <w:rStyle w:val="C3"/>
          <w:rFonts w:ascii="Courier New" w:hAnsi="Courier New"/>
          <w:sz w:val="24"/>
        </w:rPr>
        <w:t xml:space="preserve"> en un cien por ciento (100%) a la contribuyente Nº 8888 del pago de Tasas por Servicios a la Propiedad que afecta al inmueble designación catastral 04-01-080-014-000, por los períodos 2003 y 2004, siempre que se mantengan los motivos que determinaron la presente.</w:t>
      </w:r>
    </w:p>
    <w:p>
      <w:pPr>
        <w:ind w:left="709"/>
        <w:jc w:val="right"/>
        <w:rPr>
          <w:rStyle w:val="C3"/>
          <w:rFonts w:ascii="Courier New" w:hAnsi="Courier New"/>
          <w:sz w:val="24"/>
        </w:rPr>
      </w:pPr>
    </w:p>
    <w:p>
      <w:pPr>
        <w:ind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left="709"/>
        <w:jc w:val="right"/>
        <w:rPr>
          <w:rStyle w:val="C3"/>
          <w:rFonts w:ascii="Courier New" w:hAnsi="Courier New"/>
          <w:sz w:val="24"/>
        </w:rPr>
      </w:pPr>
    </w:p>
    <w:p>
      <w:pPr>
        <w:ind w:left="709"/>
        <w:jc w:val="right"/>
        <w:rPr>
          <w:rStyle w:val="C3"/>
          <w:rFonts w:ascii="Courier New" w:hAnsi="Courier New"/>
          <w:sz w:val="24"/>
        </w:rPr>
      </w:pPr>
    </w:p>
    <w:p>
      <w:pPr>
        <w:ind w:left="709"/>
        <w:jc w:val="right"/>
        <w:rPr>
          <w:rStyle w:val="C3"/>
          <w:rFonts w:ascii="Courier New" w:hAnsi="Courier New"/>
          <w:sz w:val="24"/>
        </w:rPr>
      </w:pPr>
    </w:p>
    <w:p>
      <w:pPr>
        <w:ind w:left="709"/>
        <w:jc w:val="right"/>
        <w:rPr>
          <w:rStyle w:val="C3"/>
          <w:rFonts w:ascii="Courier New" w:hAnsi="Courier New"/>
          <w:sz w:val="24"/>
        </w:rPr>
      </w:pPr>
    </w:p>
    <w:p>
      <w:pPr>
        <w:ind w:left="709"/>
        <w:jc w:val="right"/>
        <w:rPr>
          <w:rStyle w:val="C3"/>
          <w:rFonts w:ascii="Courier New" w:hAnsi="Courier New"/>
          <w:sz w:val="24"/>
        </w:rPr>
      </w:pPr>
    </w:p>
    <w:p>
      <w:pPr>
        <w:ind w:left="709"/>
        <w:jc w:val="right"/>
        <w:rPr>
          <w:rStyle w:val="C3"/>
          <w:rFonts w:ascii="Courier New" w:hAnsi="Courier New"/>
          <w:sz w:val="24"/>
        </w:rPr>
      </w:pPr>
    </w:p>
    <w:p>
      <w:pPr>
        <w:ind w:left="709"/>
        <w:jc w:val="right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..///2.-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EN </w:t>
      </w:r>
      <w:r>
        <w:rPr>
          <w:rStyle w:val="C3"/>
          <w:rFonts w:ascii="Courier New" w:hAnsi="Courier New"/>
          <w:sz w:val="24"/>
        </w:rPr>
        <w:t>caso de transferencia del inmueble designación catastral 04-01-080-014-000, el beneficio otorgado en el Art. 2, caducará en forma automática.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Art.4: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DIECISEIS DIAS DEL MES DE ABRIL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2003-04-17T08:42:00Z</dcterms:created>
  <cp:lastModifiedBy>Ethan Puglia</cp:lastModifiedBy>
  <cp:lastPrinted>2003-04-17T08:16:00Z</cp:lastPrinted>
  <dcterms:modified xsi:type="dcterms:W3CDTF">2019-03-28T17:33:50Z</dcterms:modified>
  <cp:revision>6</cp:revision>
  <dc:title>ORDENANZA  Nº  5354</dc:title>
</cp:coreProperties>
</file>