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C1FEAF" Type="http://schemas.openxmlformats.org/officeDocument/2006/relationships/officeDocument" Target="/word/document.xml" /><Relationship Id="coreR60C1FEA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6168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1297/02 iniciado por la Sra. Teresa Amanda Haedo de Giutoli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informe socioeconómico la solicitante es una persona viuda que convive junto a su hijo discapacitado, percibiendo una pensión mínima que le resulta insuficiente para atender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parcialmente las deudas que mantiene con el Municipio, despacho aprobado por unanimidad en Sesión de fecha 24 de abril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a la Contribuyente Nº 6904 de la deuda que mantiene con el Municipio al 31 de diciembre de 2000 en concepto de Tasa por Servicios a la Propiedad del inmueble designación catastral 3-01-193-018-000, autorizando al Departamento Ejecutivo a otorgar por los períodos 2001 y hasta la promulgación de la presente Ordenanza, un plan de pagos a valores históricos.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MANTENER</w:t>
      </w:r>
      <w:r>
        <w:rPr>
          <w:rStyle w:val="C3"/>
          <w:rFonts w:ascii="Courier New" w:hAnsi="Courier New"/>
          <w:sz w:val="24"/>
        </w:rPr>
        <w:t xml:space="preserve"> el beneficio del setenta por ciento (70%) de exención establecido en la Ordenanza Nº 3873 para jubilados y pensionados respecto de Tasa por Servicios a la Propiedad.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REQUERIR </w:t>
      </w:r>
      <w:r>
        <w:rPr>
          <w:rStyle w:val="C3"/>
          <w:rFonts w:ascii="Courier New" w:hAnsi="Courier New"/>
          <w:sz w:val="24"/>
        </w:rPr>
        <w:t>a la solicitante se presente a regularizar la titularidad del inmueble mencionado, en los Registros Municipales.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el cincuenta por ciento (50%) de la deuda y de las cuotas correspondientes al corriente año de Tasa por Servicios de Administración y Mantenimiento de los Cementerios – Identificación Nº 2653, de acuerdo a lo establecido en el Art. 149 inc. 2 de la Ordenanza Nº 3873, autorizándole a la contribuyente Nº 34065 acogerse respecto del saldo no exento, a los beneficios otorgados en las Ordenanzas Vigentes.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2003-04-18T16:24:00Z</dcterms:created>
  <cp:lastModifiedBy>Ethan Puglia</cp:lastModifiedBy>
  <cp:lastPrinted>2003-04-18T16:44:00Z</cp:lastPrinted>
  <dcterms:modified xsi:type="dcterms:W3CDTF">2019-03-28T17:33:50Z</dcterms:modified>
  <cp:revision>8</cp:revision>
  <dc:title>ORDENANZA  Nº  5354</dc:title>
</cp:coreProperties>
</file>