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F4BE827" Type="http://schemas.openxmlformats.org/officeDocument/2006/relationships/officeDocument" Target="/word/document.xml" /><Relationship Id="coreR7F4BE82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6182 </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1724/02 iniciado por el Sr. Angel Cecilio Feliú solicitando exención de deuda de Tasa por Servicios de Inspección General e Higiene al Comercio Legajo Nº 212, registrado a nombre de “Club Atlético Patricia”, Contribuyente Nº 33627;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r>
        <w:rPr>
          <w:rStyle w:val="C3"/>
          <w:rFonts w:ascii="Courier New" w:hAnsi="Courier New"/>
        </w:rPr>
        <w:t>Que a Fs. 15 Dirección de Policía Municipal informa que a partir del año 1989 el Club dejó su actividad en el domicilio de calle Cervantes Nº 248, acompañando a Fs. 14 el Acta de constatación;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 Fs. 12 y 19 se agregan declaraciones juradas certificadas por autoridad policial avaladas por testigos donde manifiestan que el solicitante posee escasos recursos;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revela que se trata de una persona mayor, sin jubilación ni pensión, con problemas de salud;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y teniendo en cuenta el comprobante obrante a Fs. 5, de eximición conforme al Art. 191, la misma emite despacho accediendo a lo solicitado, despacho aprobado por unanimidad en Sesión de fecha 8 de mayo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I</w:t>
      </w:r>
      <w:r>
        <w:rPr>
          <w:rStyle w:val="C3"/>
          <w:rFonts w:ascii="Courier New" w:hAnsi="Courier New"/>
          <w:b w:val="1"/>
          <w:sz w:val="24"/>
        </w:rPr>
        <w:t>N</w:t>
      </w:r>
      <w:r>
        <w:rPr>
          <w:rStyle w:val="C3"/>
          <w:rFonts w:ascii="Courier New" w:hAnsi="Courier New"/>
          <w:b w:val="1"/>
          <w:sz w:val="24"/>
        </w:rPr>
        <w:t>S</w:t>
      </w:r>
      <w:r>
        <w:rPr>
          <w:rStyle w:val="C3"/>
          <w:rFonts w:ascii="Courier New" w:hAnsi="Courier New"/>
          <w:b w:val="1"/>
          <w:sz w:val="24"/>
        </w:rPr>
        <w:t>C</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B</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la baja correspondiente al Comercio Legajo Nº 212 a partir del año 1989 quedando en consecuencia cancelado el monto de la deuda registrado en Dirección de Ingresos Públicos toda vez que los períodos reclamados son posteriores al cese de la actividad comercial.</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OCHO DIAS DEL MES DE MAYO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2003-05-09T15:34:00Z</dcterms:created>
  <cp:lastModifiedBy>Ethan Puglia</cp:lastModifiedBy>
  <cp:lastPrinted>2003-05-09T12:36:00Z</cp:lastPrinted>
  <dcterms:modified xsi:type="dcterms:W3CDTF">2019-03-28T17:33:50Z</dcterms:modified>
  <cp:revision>9</cp:revision>
  <dc:title>ORDENANZA  Nº  5354</dc:title>
</cp:coreProperties>
</file>