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114B08" Type="http://schemas.openxmlformats.org/officeDocument/2006/relationships/officeDocument" Target="/word/document.xml" /><Relationship Id="coreR6D114B0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6195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1303/02 iniciado por la Sra. Adriana Prada donde a fs. 19 solicita se revea lo resuelto mediante Ordenanza Nº 6140;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6140 se otorgó una exención del cincuenta por ciento (50%) de la deuda de Tasa por Servicios de Administración y Mantenimiento de los Cementerios, Identificación Nº 3388;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debido a la situación que vive su familia, la solicitante ve limitadas aún más sus posibilidades económicas;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ha sido notificada por la Administración del Cementerio que la concesión de uso se encuentra vencida;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15 de mayo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>X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M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en un cien por ciento (100%) la deuda y las cuotas correspondientes al año 2003 de Tasa por Servicios de Administración y Mantenimiento de los Cementerios, Identificación Nº 3388, incluido plan de pagos Nº 881.203.</w:t>
      </w:r>
    </w:p>
    <w:p>
      <w:pPr>
        <w:pStyle w:val="P6"/>
        <w:ind w:hanging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Art.2:</w:t>
      </w:r>
      <w:r>
        <w:rPr>
          <w:rStyle w:val="C3"/>
          <w:rFonts w:ascii="Courier New" w:hAnsi="Courier New"/>
          <w:b w:val="1"/>
        </w:rPr>
        <w:t xml:space="preserve"> AUTORIZAR</w:t>
      </w:r>
      <w:r>
        <w:rPr>
          <w:rStyle w:val="C3"/>
          <w:rFonts w:ascii="Courier New" w:hAnsi="Courier New"/>
        </w:rPr>
        <w:t xml:space="preserve"> al Departamento Ejecutivo a prorrogar el vencimiento de la Concesión de Uso de la mencionada identificación por el término de un año sin cargo, debiendo informar a la responsable sobre la vigencia de la Ordenanza Nº 6067.</w:t>
      </w: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2003-05-19T14:08:00Z</dcterms:created>
  <cp:lastModifiedBy>Ethan Puglia</cp:lastModifiedBy>
  <cp:lastPrinted>2003-05-19T14:32:00Z</cp:lastPrinted>
  <dcterms:modified xsi:type="dcterms:W3CDTF">2019-03-28T17:33:51Z</dcterms:modified>
  <cp:revision>9</cp:revision>
  <dc:title>ORDENANZA  Nº  5354</dc:title>
</cp:coreProperties>
</file>