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8D6F89B" Type="http://schemas.openxmlformats.org/officeDocument/2006/relationships/officeDocument" Target="/word/document.xml" /><Relationship Id="coreR28D6F89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6197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Dr. Juan Francisco Cafferata solicitando se contemple la posibilidad de otorgar una exención de Tasa por Servicios de Administración y Mantenimiento de los Cementerios;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se contemple dicha posibilidad sobre el panteón familiar;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dicho panteón descansan los restos de los sucesores de Juan Félix Cafferata, benemérito vecino de nuestra ciudad;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la familia Cafferata donara en su momento al Municipio, los terrenos donde está el Cementerio local;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considera un justo reconocimiento a la familia, otorgar este beneficio;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por el Concejo en Comisión, se emite despacho accediendo a lo solicitado, despacho aprobado por unanimidad en Sesión de fecha 15 de mayo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>X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M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 partir de la promulgación de la presente Ordenanza la Tasa por Servicios de Administración y Mantenimiento de los Cementerios – Identificación Nº 353, y mientras el panteón pertenezca a la familia Cafferata.</w:t>
      </w:r>
    </w:p>
    <w:p>
      <w:pPr>
        <w:pStyle w:val="P6"/>
        <w:ind w:hanging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pStyle w:val="P6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.2:</w:t>
      </w:r>
      <w:r>
        <w:rPr>
          <w:rStyle w:val="C3"/>
          <w:rFonts w:ascii="Courier New" w:hAnsi="Courier New"/>
          <w:b w:val="1"/>
        </w:rPr>
        <w:t xml:space="preserve"> LA</w:t>
      </w:r>
      <w:r>
        <w:rPr>
          <w:rStyle w:val="C3"/>
          <w:rFonts w:ascii="Courier New" w:hAnsi="Courier New"/>
        </w:rPr>
        <w:t xml:space="preserve"> presente exención no comprende el pago de los Derechos de Introducción que deban abonarse por nuevos ingresos al panteón.</w:t>
      </w:r>
    </w:p>
    <w:p>
      <w:pPr>
        <w:pStyle w:val="P6"/>
        <w:ind w:hanging="709"/>
        <w:rPr>
          <w:rStyle w:val="C3"/>
          <w:rFonts w:ascii="Courier New" w:hAnsi="Courier New"/>
          <w:b w:val="1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2003-05-21T14:31:00Z</dcterms:created>
  <cp:lastModifiedBy>Ethan Puglia</cp:lastModifiedBy>
  <cp:lastPrinted>2003-05-19T14:32:00Z</cp:lastPrinted>
  <dcterms:modified xsi:type="dcterms:W3CDTF">2019-03-28T17:33:51Z</dcterms:modified>
  <cp:revision>6</cp:revision>
  <dc:title>ORDENANZA  Nº  5354</dc:title>
</cp:coreProperties>
</file>