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41218D9" Type="http://schemas.openxmlformats.org/officeDocument/2006/relationships/officeDocument" Target="/word/document.xml" /><Relationship Id="coreR441218D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6219</w:t>
      </w: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Ordenanza Nº 6175 por la cual se prorroga el término de vigencia del Plan Especial de Cancelación de Deudas establecido por Ordenanza Nº 5505 y sus modificatorias, Ordenanzas Nº 5686; 5812; 5947 y 6096; y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el Art. 2 de la Ordenanza Nº 6175 existe un error en una fecha;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hace necesario enmendar el mismo.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D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F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C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S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sz w:val="24"/>
        </w:rPr>
        <w:t xml:space="preserve"> el Art. 2 de la Ordenanza Nº 6175, en donde dice: “Plan Especial de Cancelación de Deudas devengadas al 30 de diciembre de 2003”; deberá decir “Plan Especial de Cancelación de Deudas devengadas al 30 de abril de 2003”.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VEINTIDOS DEL MES DE MAYO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2003-05-29T10:40:00Z</dcterms:created>
  <cp:lastModifiedBy>Ethan Puglia</cp:lastModifiedBy>
  <cp:lastPrinted>2003-04-17T17:46:00Z</cp:lastPrinted>
  <dcterms:modified xsi:type="dcterms:W3CDTF">2019-03-28T17:33:51Z</dcterms:modified>
  <cp:revision>6</cp:revision>
  <dc:title>ORDENANZA  Nº  5354</dc:title>
</cp:coreProperties>
</file>