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373BC68" Type="http://schemas.openxmlformats.org/officeDocument/2006/relationships/officeDocument" Target="/word/document.xml" /><Relationship Id="coreR4373BC6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6230</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Ordenanza Nº 3369 por la cual se autoriza al Departamento Ejecutivo a aceptar en donación lotes ubicados en Barrio Residencial El Crucero, donados por la Sra. Rosario Aghina Cafferata; y   </w:t>
      </w:r>
    </w:p>
    <w:p>
      <w:pPr>
        <w:jc w:val="both"/>
        <w:rPr>
          <w:rStyle w:val="C3"/>
          <w:rFonts w:ascii="Courier New" w:hAnsi="Courier New"/>
          <w:sz w:val="24"/>
        </w:rPr>
      </w:pPr>
    </w:p>
    <w:p>
      <w:pPr>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jc w:val="both"/>
        <w:rPr>
          <w:rStyle w:val="C3"/>
          <w:rFonts w:ascii="Courier New" w:hAnsi="Courier New"/>
          <w:sz w:val="24"/>
        </w:rPr>
      </w:pPr>
    </w:p>
    <w:p>
      <w:pPr>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los lotes detallados en la mencionada Ordenanza son destinados a ser donados a personas que los soliciten para ser utilizados exclusivamente para la construcción de la vivienda del solicitante y su grupo familiar;</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se trata de una donación con cargo debiendo los beneficiarios abonar en su totalidad las cargas tributarias que gravan el inmueble, teniendo en cuenta que desde la fecha de la donación deben pagar la Tasa por Servicios a la Propiedad y mantenerla al día;</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a tal efecto Comisión de Legislación General emite despacho considerando conveniente introducir una modificación en la Ordenanza Nº 3369, despacho aprobado por unanimidad en Sesión de fecha 5 de junio de 2003. </w:t>
      </w:r>
    </w:p>
    <w:p>
      <w:pPr>
        <w:jc w:val="both"/>
        <w:rPr>
          <w:rStyle w:val="C3"/>
          <w:rFonts w:ascii="Courier New" w:hAnsi="Courier New"/>
          <w:sz w:val="24"/>
        </w:rPr>
      </w:pPr>
    </w:p>
    <w:p>
      <w:pPr>
        <w:jc w:val="both"/>
        <w:rPr>
          <w:rStyle w:val="C3"/>
          <w:rFonts w:ascii="Courier New" w:hAnsi="Courier New"/>
          <w:sz w:val="24"/>
        </w:rPr>
      </w:pPr>
    </w:p>
    <w:p>
      <w:pPr>
        <w:ind w:left="709"/>
        <w:jc w:val="center"/>
        <w:rPr>
          <w:rStyle w:val="C3"/>
          <w:rFonts w:ascii="Courier New" w:hAnsi="Courier New"/>
          <w:b w:val="1"/>
          <w:sz w:val="24"/>
        </w:rPr>
      </w:pPr>
      <w:r>
        <w:rPr>
          <w:rStyle w:val="C3"/>
          <w:rFonts w:ascii="Courier New" w:hAnsi="Courier New"/>
          <w:b w:val="1"/>
          <w:sz w:val="24"/>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jc w:val="both"/>
        <w:rPr>
          <w:rStyle w:val="C3"/>
          <w:rFonts w:ascii="Courier New" w:hAnsi="Courier New"/>
          <w:b w:val="1"/>
          <w:sz w:val="24"/>
        </w:rPr>
      </w:pPr>
    </w:p>
    <w:p>
      <w:pPr>
        <w:jc w:val="both"/>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MODIFICAR</w:t>
      </w:r>
      <w:r>
        <w:rPr>
          <w:rStyle w:val="C3"/>
          <w:sz w:val="24"/>
        </w:rPr>
        <w:t xml:space="preserve"> el Art. 4 de la Ordenanza Nº 3369 el que quedará redactado de la siguiente manera: “LAS donaciones  que se otorguen de acuerdo a la presente Ordenanza serán con cargo, debiendo los beneficiarios abonar en su totalidad las cargas tributarias que gravan al inmueble y por  contribución por mejoras y los gastos </w:t>
      </w:r>
    </w:p>
    <w:p>
      <w:pPr>
        <w:pStyle w:val="P8"/>
        <w:ind w:hanging="709" w:left="709"/>
        <w:jc w:val="right"/>
        <w:rPr>
          <w:rStyle w:val="C3"/>
          <w:sz w:val="24"/>
        </w:rPr>
      </w:pPr>
      <w:r>
        <w:rPr>
          <w:rStyle w:val="C3"/>
          <w:sz w:val="24"/>
        </w:rPr>
        <w:t>...///</w:t>
      </w: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left="709"/>
        <w:jc w:val="both"/>
        <w:rPr>
          <w:rStyle w:val="C3"/>
          <w:sz w:val="24"/>
        </w:rPr>
      </w:pPr>
      <w:r>
        <w:rPr>
          <w:rStyle w:val="C3"/>
          <w:sz w:val="24"/>
        </w:rPr>
        <w:t>de transferencia de dominio. En el Supuesto del incumplimiento de esta obligación, la Municipalidad de Alta Gracia no se hará cargo en ningún caso de las erogaciones que debe pagar el beneficiario de acuerdo a este Artículo. Respecto a la Tasa por Servicios a la Propiedad deberán abonarlas y mantenerlas al día desde la fecha de la Ordenanza en que el lote fue donado, no pudiendo realizarse la escritura traslativa de dominio al beneficiario, si no tiene sus Tasa al día”.</w:t>
      </w:r>
    </w:p>
    <w:p>
      <w:pPr>
        <w:pStyle w:val="P8"/>
        <w:ind w:hanging="709" w:left="709"/>
        <w:jc w:val="both"/>
        <w:rPr>
          <w:rStyle w:val="C3"/>
          <w:b w:val="1"/>
          <w:sz w:val="24"/>
          <w:u w:val="single"/>
        </w:rPr>
      </w:pPr>
    </w:p>
    <w:p>
      <w:pPr>
        <w:pStyle w:val="P8"/>
        <w:ind w:hanging="709" w:left="709"/>
        <w:jc w:val="both"/>
      </w:pPr>
      <w:r>
        <w:rPr>
          <w:rStyle w:val="C3"/>
          <w:b w:val="1"/>
          <w:sz w:val="24"/>
          <w:u w:val="single"/>
        </w:rPr>
        <w:t>Art.2:</w:t>
      </w:r>
      <w:r>
        <w:rPr>
          <w:rStyle w:val="C3"/>
          <w:b w:val="1"/>
          <w:sz w:val="24"/>
        </w:rPr>
        <w:t xml:space="preserve"> MODIFICASE </w:t>
      </w:r>
      <w:r>
        <w:rPr>
          <w:rStyle w:val="C3"/>
          <w:sz w:val="24"/>
        </w:rPr>
        <w:t>el Art. 6 de la Ordenanza Nº 3369 el que quedará redactado de la siguiente manera: “EN caso del no cumplimiento del plazo estipulado en el artículo anterior, la donación caducará de pleno derecho, debiendo restituir el inmueble a la Municipalidad de Alta Gracia y no se podrá otorgar prórroga para la construcción si no tiene las Tasas al día”.</w:t>
      </w:r>
      <w:r>
        <w:rPr>
          <w:rStyle w:val="C3"/>
          <w:b w:val="1"/>
          <w:sz w:val="24"/>
        </w:rPr>
        <w:t xml:space="preserve"> </w:t>
      </w:r>
      <w:r>
        <w:t xml:space="preserve"> </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jc w:val="both"/>
        <w:rPr>
          <w:rStyle w:val="C3"/>
          <w:rFonts w:ascii="Courier New" w:hAnsi="Courier New"/>
          <w:b w:val="1"/>
          <w:sz w:val="24"/>
          <w:u w:val="single"/>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CINCO DIAS DEL MES DE JUNIO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2003-06-20T15:15:00Z</dcterms:created>
  <cp:lastModifiedBy>Ethan Puglia</cp:lastModifiedBy>
  <cp:lastPrinted>2003-05-09T14:40:00Z</cp:lastPrinted>
  <dcterms:modified xsi:type="dcterms:W3CDTF">2019-03-28T17:33:51Z</dcterms:modified>
  <cp:revision>10</cp:revision>
  <dc:title>ORDENANZA  Nº  5354</dc:title>
</cp:coreProperties>
</file>