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F8903D" Type="http://schemas.openxmlformats.org/officeDocument/2006/relationships/officeDocument" Target="/word/document.xml" /><Relationship Id="coreR4EF890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888/02 iniciado por la Sra. Alda Josefina Gennari solicitando exención de Tasas;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 grupo familiar con marcados límites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otorgar una exención parcial y facilitando el pago de las Tasas,  despacho aprobado por unanimidad en Sesión de fecha 12 de junio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 la Contribuyente Nº 6665 del pago de toda deuda que mantenga con el Municipio al 31 de diciembre de 2001 incluidos los planes de pagos Nº 879602 y 881803.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la suma de PESOS CUATRO ($ 4.-), al inmueble designación catastral 04-01-018-009-000,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2, se le eximirá de una (1) cuota de la deuda de los períodos no eximidos,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04-01-018-009-000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correspondientes a Tasa por Servicios de Administración y Mantenimiento de los Cementerios – Identificación Nº 3198.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forma bimestral de acuerdo a lo establecido en el Art. 5, eximir de una (1) cuota de la deuda de los períodos no eximidos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Art.7:</w:t>
      </w:r>
      <w:r>
        <w:rPr>
          <w:rStyle w:val="C3"/>
          <w:rFonts w:ascii="Courier New" w:hAnsi="Courier New"/>
          <w:b w:val="1"/>
          <w:sz w:val="24"/>
        </w:rPr>
        <w:t xml:space="preserve"> LOS </w:t>
      </w:r>
      <w:r>
        <w:rPr>
          <w:rStyle w:val="C3"/>
          <w:rFonts w:ascii="Courier New" w:hAnsi="Courier New"/>
          <w:sz w:val="24"/>
        </w:rPr>
        <w:t>beneficios otorgados en los Arts. anteriores tendrán vigencia desde la promulgación de la presente Ordenanza y hasta el 31 de diciembre de 2004, siempre que se mantengan los motivos que los fundamentan.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8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2003-06-13T11:04:00Z</dcterms:created>
  <cp:lastModifiedBy>Ethan Puglia</cp:lastModifiedBy>
  <cp:lastPrinted>2003-06-02T16:15:00Z</cp:lastPrinted>
  <dcterms:modified xsi:type="dcterms:W3CDTF">2019-03-28T17:33:52Z</dcterms:modified>
  <cp:revision>10</cp:revision>
  <dc:title>ORDENANZA  Nº  5354</dc:title>
</cp:coreProperties>
</file>