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92B038" Type="http://schemas.openxmlformats.org/officeDocument/2006/relationships/officeDocument" Target="/word/document.xml" /><Relationship Id="coreRC92B03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6241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744/02 iniciado por el Sr. Alberto Leonardo Paz y por la Sra. Emma Raquel Flores donde se adjunta nota de Dirección de Ingresos Públicos solicitando se rectifique la Ordenanza Nº 6053;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la Ordenanza Nº 6053 se otorgaron los beneficios de la Ordenanza Nº 5485 para abonar la Tasa por Servicios a la Propiedad a los solicitantes;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mencionada Ordenanza se cometió un error en la designación catastral que se hace necesario enmendar;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</w:t>
      </w:r>
      <w:r>
        <w:rPr>
          <w:rStyle w:val="C3"/>
          <w:rFonts w:ascii="Courier New" w:hAnsi="Courier New"/>
          <w:color w:val="FF0000"/>
        </w:rPr>
        <w:t xml:space="preserve"> </w:t>
      </w:r>
      <w:r>
        <w:rPr>
          <w:rStyle w:val="C3"/>
          <w:rFonts w:ascii="Courier New" w:hAnsi="Courier New"/>
          <w:color w:val="000000"/>
        </w:rPr>
        <w:t xml:space="preserve">la situación planteada </w:t>
      </w:r>
      <w:r>
        <w:rPr>
          <w:rStyle w:val="C3"/>
          <w:rFonts w:ascii="Courier New" w:hAnsi="Courier New"/>
        </w:rPr>
        <w:t>por Comisión de Hacienda, la misma emite despacho sugiriendo la modificación de la Ordenanza, despacho aprobado por unanimidad en Sesión de fecha 12 de junio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Art. 1 de la Ordenanza Nº 6053 donde dice: “designación catastral 01-01-382-001-000”, deberá decir: “designación catastral 03-01-382-001-000”.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2003-06-13T14:18:00Z</dcterms:created>
  <cp:lastModifiedBy>Ethan Puglia</cp:lastModifiedBy>
  <cp:lastPrinted>2003-06-02T16:15:00Z</cp:lastPrinted>
  <dcterms:modified xsi:type="dcterms:W3CDTF">2019-03-28T17:33:52Z</dcterms:modified>
  <cp:revision>7</cp:revision>
  <dc:title>ORDENANZA  Nº  5354</dc:title>
</cp:coreProperties>
</file>