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125531" Type="http://schemas.openxmlformats.org/officeDocument/2006/relationships/officeDocument" Target="/word/document.xml" /><Relationship Id="coreR101255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6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elevada por el Departamento Ejecutivo solicitando se modifique la Ordenanza Nº 6113 – Manual de Roles y Funciones de la Dirección de Salud Pública Municipal;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Ordenanza mencionada en el Area Odontología, Pag. 41 a 43 se incorporaron datos que no corresponden a la Ordenanza;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además se sugieren, respecto al Area Odontología, modificaciones en los ítems Roles y Funciones – En lo Técnico Profesional; En lo Administrativo; En Educación y Docencia; en Objetivos Específicos y en Evaluación; 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evaluadas las modificaciones propuestas por el Concejo en Comisión, el mismo emite despacho accediendo a realizar las modificaciones, despacho aprobado por unanimidad en Sesión de fecha 12 de junio de 2003. 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0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F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Ordenanza Nº 6113 en su anexo Manual de Roles y Funciones de la Dirección de Salud Pública Municipal, en el Area Odontología, que quedará redactado de la siguiente manera:</w:t>
      </w:r>
    </w:p>
    <w:p>
      <w:pPr>
        <w:pStyle w:val="P3"/>
        <w:rPr>
          <w:rStyle w:val="C3"/>
        </w:rPr>
      </w:pPr>
    </w:p>
    <w:p>
      <w:pPr>
        <w:pStyle w:val="P3"/>
        <w:rPr>
          <w:rStyle w:val="C3"/>
          <w:sz w:val="24"/>
        </w:rPr>
      </w:pPr>
      <w:r>
        <w:t xml:space="preserve">                                                                                          </w:t>
      </w:r>
      <w:r>
        <w:rPr>
          <w:rStyle w:val="C3"/>
          <w:sz w:val="24"/>
        </w:rPr>
        <w:t xml:space="preserve"> AREA ODONTOLOGIA</w:t>
      </w:r>
    </w:p>
    <w:p>
      <w:pPr>
        <w:rPr>
          <w:rStyle w:val="C3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  <w:u w:val="single"/>
        </w:rPr>
      </w:pPr>
      <w:r>
        <w:rPr>
          <w:rStyle w:val="C3"/>
          <w:color w:val="000000"/>
          <w:sz w:val="24"/>
          <w:u w:val="single"/>
        </w:rPr>
        <w:t>Roles y Funciones.</w:t>
      </w:r>
    </w:p>
    <w:p>
      <w:pPr>
        <w:spacing w:lineRule="auto" w:line="360"/>
        <w:jc w:val="center"/>
        <w:rPr>
          <w:rStyle w:val="C3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...///2.-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a)- Coordinador General.</w:t>
      </w:r>
    </w:p>
    <w:p>
      <w:pPr>
        <w:numPr>
          <w:ilvl w:val="0"/>
          <w:numId w:val="6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Ejercerá conducción y coordinación general del Plan de trabajo delegado por la dirección.</w:t>
      </w:r>
    </w:p>
    <w:p>
      <w:pPr>
        <w:numPr>
          <w:ilvl w:val="0"/>
          <w:numId w:val="7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Realizará Programación y Planificación de actividades para ejecutar plan de trabajo.</w:t>
      </w:r>
    </w:p>
    <w:p>
      <w:pPr>
        <w:numPr>
          <w:ilvl w:val="0"/>
          <w:numId w:val="8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Supervisará el cumplimiento de las  tareas previstas por el personal a cargo.</w:t>
      </w:r>
    </w:p>
    <w:p>
      <w:pPr>
        <w:numPr>
          <w:ilvl w:val="0"/>
          <w:numId w:val="9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Coordinará y ejecutará tareas emanadas del nivel superior.</w:t>
      </w:r>
    </w:p>
    <w:p>
      <w:pPr>
        <w:numPr>
          <w:ilvl w:val="0"/>
          <w:numId w:val="10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Promoverá capacitación del personal de servicio.</w:t>
      </w:r>
    </w:p>
    <w:p>
      <w:pPr>
        <w:numPr>
          <w:ilvl w:val="0"/>
          <w:numId w:val="1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Resolverá y será nexo del personal a cargo con el nivel superior.</w:t>
      </w:r>
    </w:p>
    <w:p>
      <w:pPr>
        <w:numPr>
          <w:ilvl w:val="0"/>
          <w:numId w:val="1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Representará oficialmente la responsabilidad general del plan.</w:t>
      </w:r>
    </w:p>
    <w:p>
      <w:pPr>
        <w:numPr>
          <w:ilvl w:val="0"/>
          <w:numId w:val="1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Presentará anualmente el trabajo realizado por el área  a la dirección</w:t>
      </w:r>
    </w:p>
    <w:p>
      <w:pPr>
        <w:numPr>
          <w:ilvl w:val="0"/>
          <w:numId w:val="1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Resolverá y será nexo con el nivel superior en la articulación de programas y proyectos que involucren el área de  odontología.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b w:val="1"/>
          <w:color w:val="000000"/>
          <w:sz w:val="24"/>
        </w:rPr>
        <w:t>En lo técnico Profesional</w:t>
      </w:r>
      <w:r>
        <w:rPr>
          <w:rStyle w:val="C3"/>
          <w:color w:val="000000"/>
          <w:sz w:val="24"/>
        </w:rPr>
        <w:t>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b)- Profesionales Odontólogos.</w:t>
      </w:r>
    </w:p>
    <w:p>
      <w:pPr>
        <w:numPr>
          <w:ilvl w:val="0"/>
          <w:numId w:val="20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Será el encargado de colaborar, elaborar y llevar a cabo las actividades programadas por el Coordinador General y la Dirección.</w:t>
      </w:r>
    </w:p>
    <w:p>
      <w:pPr>
        <w:numPr>
          <w:ilvl w:val="0"/>
          <w:numId w:val="20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Cumplirán la responsabilidad ejecutaciones propias de su tarea a desarrollar tanto a nivel intramuro como extramuro.</w:t>
      </w:r>
    </w:p>
    <w:p>
      <w:pPr>
        <w:numPr>
          <w:ilvl w:val="0"/>
          <w:numId w:val="20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Participará en la evaluación de los objetivos y metas propuestos.</w:t>
      </w:r>
    </w:p>
    <w:p>
      <w:pPr>
        <w:numPr>
          <w:ilvl w:val="0"/>
          <w:numId w:val="20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Sugerirá cambios metodológicos en el Servicio los que serán debatidos para ser elevados a los superiores.</w:t>
      </w:r>
    </w:p>
    <w:p>
      <w:pPr>
        <w:numPr>
          <w:ilvl w:val="0"/>
          <w:numId w:val="20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Encargados de formar a los docentes en el Programa Escolar.</w:t>
      </w:r>
    </w:p>
    <w:p>
      <w:pPr>
        <w:numPr>
          <w:ilvl w:val="0"/>
          <w:numId w:val="20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Ejecutar los Programas en tiempo y en forma cada una de sus etapas.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...///3.-</w:t>
      </w: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En lo referente a los puntos 2- 3- 4- 5- y 6 también serán realizadas por el Coordinador General.</w:t>
      </w: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  <w:r>
        <w:rPr>
          <w:rStyle w:val="C3"/>
          <w:b w:val="1"/>
          <w:color w:val="000000"/>
          <w:sz w:val="24"/>
        </w:rPr>
        <w:t>En lo administrativo.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Entregará información en forma periódica pautada.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Registrará diariamente la información en planillas de Atención diaria en forma completa.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Confeccionará diariamente la Historia Clínica y Consentimiento Informado en forma completa.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Entregará diariamente dicho material al Personal Administrativo.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Deberá presentar en tiempo y en forma los avances del programa Escolar al Coordinador.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Se compromete a cumplir con los horarios pautados y a sus posibles modificaciones.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Seguirá normas pautados para el uso de Instrumental.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Seguirá normas pautados para el funcionamiento ágil y  armónico del servicio, dejando el mismo en condiciones establecidas.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Notificará por escrito al coordinador faltas de material, inconvenientes, etc.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Notificará por escrito desperfectos del equipamiento, perdidas de instrumental.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Notificará por escrito solicitud para cursos, licencias, etc., que serán elevados al CID o a la Dirección.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Informará sobre los materiales retirados en Farmacia.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Informará sobre los Kits retirados.</w:t>
      </w: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Notificará en caso de accidente inmediatamente al Coordinador, Director  para realizar tratamiento correspondiente.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...///4.-</w:t>
      </w: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</w:p>
    <w:p>
      <w:pPr>
        <w:numPr>
          <w:ilvl w:val="0"/>
          <w:numId w:val="21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Velar por el equipo Odontológico en perfecto estado de conservación, en los dispensarios periféricos.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En lo referente a los puntos 1 al 15 será también, llevado a cabo por el Coordinador General.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  <w:r>
        <w:rPr>
          <w:rStyle w:val="C3"/>
          <w:b w:val="1"/>
          <w:color w:val="000000"/>
          <w:sz w:val="24"/>
        </w:rPr>
        <w:t xml:space="preserve">En educación y docencia: </w:t>
      </w:r>
    </w:p>
    <w:p>
      <w:pPr>
        <w:numPr>
          <w:ilvl w:val="0"/>
          <w:numId w:val="14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Participará en las actividades de Capacitación previstas por CCID, dependiente de la Dirección de Salud Pública Municipal.</w:t>
      </w:r>
    </w:p>
    <w:p>
      <w:pPr>
        <w:numPr>
          <w:ilvl w:val="0"/>
          <w:numId w:val="15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Responderá estructuralmente al Coordinador General en lo referente a la tarea organización. Siendo propia responsabilidad la práctica ejecutada, tanto intramuro como extramuro propias del Programa.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c)-  Odontólogos Agregados:</w:t>
      </w:r>
    </w:p>
    <w:p>
      <w:pPr>
        <w:numPr>
          <w:ilvl w:val="0"/>
          <w:numId w:val="2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Podrán desempeñar  su actividad conforme a la reglamentación y normas pautadas por CCID de la Dirección de Salud Pública Municipal por lo cual ni el Coordinador ni la Dirección de Salud Pública tendrán responsabilidad en dicha práctica.</w:t>
      </w:r>
    </w:p>
    <w:p>
      <w:pPr>
        <w:numPr>
          <w:ilvl w:val="0"/>
          <w:numId w:val="16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Para poder asistir deberán presentar Requisitos exigidos y aprobados por CCID de la Dirección de Salud Pública de la Municipalidad de Alta Gracia, con Ordenanza Municipal.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d)- Los Estudiantes Odontólogos:</w:t>
      </w:r>
    </w:p>
    <w:p>
      <w:pPr>
        <w:numPr>
          <w:ilvl w:val="0"/>
          <w:numId w:val="17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Realizarán tareas de observación y aprendizajes a cargo de los Odontólogos o del agregado, siendo la práctica respectiva responsabilidad del Profesional a cargo en día y hora.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...///5.-</w:t>
      </w: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</w:p>
    <w:p>
      <w:pPr>
        <w:spacing w:lineRule="auto" w:line="360"/>
        <w:rPr>
          <w:rStyle w:val="C3"/>
          <w:rFonts w:ascii="Courier New" w:hAnsi="Courier New"/>
          <w:color w:val="000000"/>
          <w:sz w:val="24"/>
        </w:rPr>
      </w:pPr>
    </w:p>
    <w:p>
      <w:pPr>
        <w:numPr>
          <w:ilvl w:val="0"/>
          <w:numId w:val="18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Cumplirá con el horario convenido y actividades.</w:t>
      </w:r>
    </w:p>
    <w:p>
      <w:pPr>
        <w:numPr>
          <w:ilvl w:val="0"/>
          <w:numId w:val="19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En caso de captar pacientes del servicio para prácticos en la UNC los profesionales a cargo no tendrán responsabilidad alguna sobre dicho tratamiento.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  <w:r>
        <w:rPr>
          <w:rStyle w:val="C3"/>
          <w:b w:val="1"/>
          <w:color w:val="000000"/>
          <w:sz w:val="24"/>
        </w:rPr>
        <w:t>OBJETIVOS GENERALES: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Promover en el paciente la  responsabilidad en el auto- cuidado en la salud en general y Buco- dental en especial.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Promoción y educación para la Salud Buco- dental.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Activar estrategias para el trabajo comunitario.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Activar estrategias para el trabajo interdisciplinario con otros profesionales del equipo de Salud.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Inducir a la comunidad a la creación de hábitos positivos y preventivos.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Inducir a la Comunidad Educativa que comprende Directivo, Docentes, alumnos, padres y odontólogos.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Participar en la Conformación, organización y funcionamiento del CCID.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Establecer mecanismos informativos y canales de comunicación en Salud</w:t>
      </w:r>
    </w:p>
    <w:p>
      <w:pPr>
        <w:numPr>
          <w:ilvl w:val="0"/>
          <w:numId w:val="2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Formar a los Docentes Multiplicadores de nuestro accionar en el aula y en el grupo familiar.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Favorecer relaciones e intercambios con otras instituciones odontológicas de orden municipal, provincial , nacional, con la participación en diferentes Programas.</w:t>
      </w:r>
    </w:p>
    <w:p>
      <w:pPr>
        <w:numPr>
          <w:ilvl w:val="0"/>
          <w:numId w:val="2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Promover la elaboración de programas o proyectos adecuados a la realidad local para mejoramiento de la Salud Bucal de la población.</w:t>
      </w:r>
    </w:p>
    <w:p>
      <w:pPr>
        <w:spacing w:lineRule="auto" w:line="360"/>
        <w:jc w:val="right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</w:t>
      </w: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</w:p>
    <w:p>
      <w:pPr>
        <w:spacing w:lineRule="auto" w:line="360"/>
        <w:jc w:val="both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color w:val="000000"/>
          <w:sz w:val="24"/>
        </w:rPr>
        <w:t>...///6.-</w:t>
      </w: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</w:p>
    <w:p>
      <w:p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b w:val="1"/>
          <w:color w:val="000000"/>
          <w:sz w:val="24"/>
        </w:rPr>
        <w:t>OBJETIVOS ESPECIFICOS</w:t>
      </w:r>
      <w:r>
        <w:rPr>
          <w:rStyle w:val="C3"/>
          <w:color w:val="000000"/>
          <w:sz w:val="24"/>
        </w:rPr>
        <w:t>:</w:t>
      </w:r>
    </w:p>
    <w:p>
      <w:pPr>
        <w:numPr>
          <w:ilvl w:val="0"/>
          <w:numId w:val="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Identificar problemas.</w:t>
      </w:r>
    </w:p>
    <w:p>
      <w:pPr>
        <w:numPr>
          <w:ilvl w:val="0"/>
          <w:numId w:val="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Establecer prioridades en grupos más vulnerables (grupos a mayor riesgo).</w:t>
      </w:r>
    </w:p>
    <w:p>
      <w:pPr>
        <w:numPr>
          <w:ilvl w:val="0"/>
          <w:numId w:val="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Encontrar posibles soluciones.</w:t>
      </w:r>
    </w:p>
    <w:p>
      <w:pPr>
        <w:numPr>
          <w:ilvl w:val="0"/>
          <w:numId w:val="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Fijar metas simples y realistas ejecutables y evaluarlas</w:t>
      </w:r>
    </w:p>
    <w:p>
      <w:pPr>
        <w:numPr>
          <w:ilvl w:val="0"/>
          <w:numId w:val="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Con recursos disponibles hacer más eficiente el servicio.</w:t>
      </w:r>
    </w:p>
    <w:p>
      <w:pPr>
        <w:numPr>
          <w:ilvl w:val="0"/>
          <w:numId w:val="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Brindar asesoramiento y orientación sobre  alcances de nuestro accionar a la comunidad.</w:t>
      </w:r>
    </w:p>
    <w:p>
      <w:pPr>
        <w:numPr>
          <w:ilvl w:val="0"/>
          <w:numId w:val="3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Derivar la demanda no cubierta hacia niveles de mayor complejidad.</w:t>
      </w:r>
    </w:p>
    <w:p>
      <w:pPr>
        <w:spacing w:lineRule="auto" w:line="360"/>
        <w:jc w:val="both"/>
        <w:rPr>
          <w:rStyle w:val="C3"/>
          <w:color w:val="000000"/>
          <w:sz w:val="24"/>
        </w:rPr>
      </w:pPr>
    </w:p>
    <w:p>
      <w:pPr>
        <w:spacing w:lineRule="auto" w:line="360"/>
        <w:jc w:val="both"/>
        <w:rPr>
          <w:rStyle w:val="C3"/>
          <w:b w:val="1"/>
          <w:color w:val="000000"/>
          <w:sz w:val="24"/>
        </w:rPr>
      </w:pPr>
      <w:r>
        <w:rPr>
          <w:rStyle w:val="C3"/>
          <w:b w:val="1"/>
          <w:color w:val="000000"/>
          <w:sz w:val="24"/>
        </w:rPr>
        <w:t>EVALUACIÓN:</w:t>
      </w:r>
    </w:p>
    <w:p>
      <w:pPr>
        <w:numPr>
          <w:ilvl w:val="0"/>
          <w:numId w:val="4"/>
        </w:numPr>
        <w:spacing w:lineRule="auto" w:line="360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Sobre la atención espontánea por interrogatorio. </w:t>
      </w:r>
    </w:p>
    <w:p>
      <w:pPr>
        <w:numPr>
          <w:ilvl w:val="0"/>
          <w:numId w:val="4"/>
        </w:numPr>
        <w:spacing w:lineRule="auto" w:line="360"/>
        <w:jc w:val="both"/>
        <w:rPr>
          <w:rStyle w:val="C3"/>
          <w:color w:val="000080"/>
          <w:sz w:val="28"/>
        </w:rPr>
      </w:pPr>
      <w:r>
        <w:rPr>
          <w:rStyle w:val="C3"/>
          <w:color w:val="000000"/>
          <w:sz w:val="24"/>
        </w:rPr>
        <w:t>De Programas, alcances, tiempos.</w:t>
      </w:r>
    </w:p>
    <w:p>
      <w:pPr>
        <w:numPr>
          <w:ilvl w:val="0"/>
          <w:numId w:val="5"/>
        </w:numPr>
        <w:spacing w:lineRule="auto" w:line="360"/>
        <w:jc w:val="both"/>
        <w:rPr>
          <w:rStyle w:val="C3"/>
          <w:color w:val="000080"/>
          <w:sz w:val="28"/>
        </w:rPr>
      </w:pPr>
      <w:r>
        <w:rPr>
          <w:rStyle w:val="C3"/>
          <w:color w:val="000000"/>
          <w:sz w:val="24"/>
        </w:rPr>
        <w:t>Evaluación interna del</w:t>
      </w:r>
      <w:r>
        <w:rPr>
          <w:rStyle w:val="C3"/>
          <w:color w:val="000000"/>
          <w:sz w:val="28"/>
        </w:rPr>
        <w:t xml:space="preserve"> </w:t>
      </w:r>
      <w:r>
        <w:rPr>
          <w:rStyle w:val="C3"/>
          <w:color w:val="000000"/>
          <w:sz w:val="24"/>
        </w:rPr>
        <w:t>equipo, dificultades, cambios, mejoras, etc.</w:t>
      </w:r>
    </w:p>
    <w:p>
      <w:pPr>
        <w:pStyle w:val="P3"/>
        <w:rPr>
          <w:rStyle w:val="C3"/>
          <w:b w:val="1"/>
          <w:i w:val="1"/>
          <w:u w:val="non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9"/>
        <w:rPr>
          <w:rStyle w:val="C3"/>
          <w:rFonts w:ascii="Courier New" w:hAnsi="Courier New"/>
        </w:rPr>
      </w:pPr>
    </w:p>
    <w:p>
      <w:pPr>
        <w:pStyle w:val="P9"/>
        <w:rPr>
          <w:rStyle w:val="C3"/>
          <w:rFonts w:ascii="Courier New" w:hAnsi="Courier New"/>
        </w:rPr>
      </w:pPr>
    </w:p>
    <w:p>
      <w:pPr>
        <w:pStyle w:val="P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p>
      <w:pPr>
        <w:pStyle w:val="P9"/>
        <w:rPr>
          <w:rStyle w:val="C3"/>
          <w:rFonts w:ascii="Courier New" w:hAnsi="Courier New"/>
        </w:rPr>
      </w:pPr>
    </w:p>
    <w:p>
      <w:pPr>
        <w:pStyle w:val="P9"/>
        <w:rPr>
          <w:rStyle w:val="C3"/>
          <w:rFonts w:ascii="Courier New" w:hAnsi="Courier New"/>
        </w:rPr>
      </w:pPr>
    </w:p>
    <w:p>
      <w:pPr>
        <w:pStyle w:val="P9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23A0C05"/>
    <w:multiLevelType w:val="hybridMultilevel"/>
    <w:lvl w:ilvl="0" w:tplc="49F63A2D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B06121B"/>
    <w:multiLevelType w:val="hybridMultilevel"/>
    <w:lvl w:ilvl="0" w:tplc="5ADA09AA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6AF3D49"/>
    <w:multiLevelType w:val="hybridMultilevel"/>
    <w:lvl w:ilvl="0" w:tplc="66E9C25E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26EE2C1F"/>
    <w:multiLevelType w:val="hybridMultilevel"/>
    <w:lvl w:ilvl="0" w:tplc="372B73B6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28FC1794"/>
    <w:multiLevelType w:val="hybridMultilevel"/>
    <w:lvl w:ilvl="0" w:tplc="52BAD497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B34242E"/>
    <w:multiLevelType w:val="hybridMultilevel"/>
    <w:lvl w:ilvl="0" w:tplc="579C33D1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381E1B06"/>
    <w:multiLevelType w:val="hybridMultilevel"/>
    <w:lvl w:ilvl="0" w:tplc="0E614ACA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3F2A5E05"/>
    <w:multiLevelType w:val="hybridMultilevel"/>
    <w:lvl w:ilvl="0" w:tplc="05DE878C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0A54733"/>
    <w:multiLevelType w:val="hybridMultilevel"/>
    <w:lvl w:ilvl="0" w:tplc="20EB6E72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53D0A85"/>
    <w:multiLevelType w:val="hybridMultilevel"/>
    <w:lvl w:ilvl="0" w:tplc="0619EE79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46B712B0"/>
    <w:multiLevelType w:val="hybridMultilevel"/>
    <w:lvl w:ilvl="0" w:tplc="26A149F5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47486500"/>
    <w:multiLevelType w:val="hybridMultilevel"/>
    <w:lvl w:ilvl="0" w:tplc="5192F2D1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4EB71B7A"/>
    <w:multiLevelType w:val="hybridMultilevel"/>
    <w:lvl w:ilvl="0" w:tplc="6422B24C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4F693FC0"/>
    <w:multiLevelType w:val="hybridMultilevel"/>
    <w:lvl w:ilvl="0" w:tplc="5A108EEF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580B708B"/>
    <w:multiLevelType w:val="hybridMultilevel"/>
    <w:lvl w:ilvl="0" w:tplc="156882A2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5F7028DA"/>
    <w:multiLevelType w:val="hybridMultilevel"/>
    <w:lvl w:ilvl="0" w:tplc="00AB3FC8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651F2F2E"/>
    <w:multiLevelType w:val="hybridMultilevel"/>
    <w:lvl w:ilvl="0" w:tplc="6627B558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653B49E5"/>
    <w:multiLevelType w:val="hybridMultilevel"/>
    <w:lvl w:ilvl="0" w:tplc="7D60C2F0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6756133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690A72DB"/>
    <w:multiLevelType w:val="hybridMultilevel"/>
    <w:lvl w:ilvl="0" w:tplc="60E8E2BB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69412E6D"/>
    <w:multiLevelType w:val="hybridMultilevel"/>
    <w:lvl w:ilvl="0" w:tplc="534CF0FD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745003A3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7E6D7A87"/>
    <w:multiLevelType w:val="hybridMultilevel"/>
    <w:lvl w:ilvl="0" w:tplc="1D5EB56F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4"/>
  </w:num>
  <w:num w:numId="3">
    <w:abstractNumId w:val="10"/>
  </w:num>
  <w:num w:numId="4">
    <w:abstractNumId w:val="5"/>
  </w:num>
  <w:num w:numId="5">
    <w:abstractNumId w:val="8"/>
  </w:num>
  <w:num w:numId="6">
    <w:abstractNumId w:val="4"/>
  </w:num>
  <w:num w:numId="7">
    <w:abstractNumId w:val="13"/>
  </w:num>
  <w:num w:numId="8">
    <w:abstractNumId w:val="15"/>
  </w:num>
  <w:num w:numId="9">
    <w:abstractNumId w:val="16"/>
  </w:num>
  <w:num w:numId="10">
    <w:abstractNumId w:val="3"/>
  </w:num>
  <w:num w:numId="11">
    <w:abstractNumId w:val="17"/>
  </w:num>
  <w:num w:numId="12">
    <w:abstractNumId w:val="11"/>
  </w:num>
  <w:num w:numId="13">
    <w:abstractNumId w:val="22"/>
  </w:num>
  <w:num w:numId="14">
    <w:abstractNumId w:val="9"/>
  </w:num>
  <w:num w:numId="15">
    <w:abstractNumId w:val="7"/>
  </w:num>
  <w:num w:numId="16">
    <w:abstractNumId w:val="2"/>
  </w:num>
  <w:num w:numId="17">
    <w:abstractNumId w:val="19"/>
  </w:num>
  <w:num w:numId="18">
    <w:abstractNumId w:val="1"/>
  </w:num>
  <w:num w:numId="19">
    <w:abstractNumId w:val="12"/>
  </w:num>
  <w:num w:numId="20">
    <w:abstractNumId w:val="18"/>
  </w:num>
  <w:num w:numId="21">
    <w:abstractNumId w:val="21"/>
  </w:num>
  <w:num w:numId="22">
    <w:abstractNumId w:val="6"/>
  </w:num>
  <w:num w:numId="23">
    <w:abstractNumId w:val="2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rFonts w:ascii="Courier New" w:hAnsi="Courier New"/>
      <w:b w:val="1"/>
      <w:sz w:val="24"/>
      <w:u w:val="single"/>
    </w:rPr>
  </w:style>
  <w:style w:type="paragraph" w:styleId="P3">
    <w:name w:val="Título 9"/>
    <w:basedOn w:val="P0"/>
    <w:next w:val="P0"/>
    <w:pPr>
      <w:keepNext w:val="1"/>
      <w:outlineLvl w:val="8"/>
    </w:pPr>
    <w:rPr>
      <w:b w:val="1"/>
      <w:i w:val="1"/>
      <w:color w:val="000000"/>
      <w:sz w:val="28"/>
      <w:u w:val="single"/>
    </w:rPr>
  </w:style>
  <w:style w:type="paragraph" w:styleId="P4">
    <w:name w:val="Encabezado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Pie de página"/>
    <w:basedOn w:val="P0"/>
    <w:next w:val="P5"/>
    <w:pPr>
      <w:tabs>
        <w:tab w:val="center" w:pos="4419" w:leader="none"/>
        <w:tab w:val="right" w:pos="8838" w:leader="none"/>
      </w:tabs>
    </w:pPr>
    <w:rPr/>
  </w:style>
  <w:style w:type="paragraph" w:styleId="P6">
    <w:name w:val="Título"/>
    <w:basedOn w:val="P0"/>
    <w:next w:val="P6"/>
    <w:pPr>
      <w:jc w:val="center"/>
    </w:pPr>
    <w:rPr>
      <w:b w:val="1"/>
      <w:sz w:val="24"/>
      <w:u w:val="single"/>
    </w:rPr>
  </w:style>
  <w:style w:type="paragraph" w:styleId="P7">
    <w:name w:val="Sangría de t. independiente"/>
    <w:basedOn w:val="P0"/>
    <w:next w:val="P7"/>
    <w:pPr>
      <w:ind w:hanging="709" w:left="709"/>
      <w:jc w:val="both"/>
    </w:pPr>
    <w:rPr>
      <w:sz w:val="24"/>
    </w:rPr>
  </w:style>
  <w:style w:type="paragraph" w:styleId="P8">
    <w:name w:val="Sangría 2 de t. independiente"/>
    <w:basedOn w:val="P0"/>
    <w:next w:val="P8"/>
    <w:pPr>
      <w:ind w:left="709"/>
      <w:jc w:val="both"/>
    </w:pPr>
    <w:rPr>
      <w:sz w:val="24"/>
    </w:rPr>
  </w:style>
  <w:style w:type="paragraph" w:styleId="P9">
    <w:name w:val="Texto independiente"/>
    <w:basedOn w:val="P0"/>
    <w:next w:val="P9"/>
    <w:pPr>
      <w:jc w:val="both"/>
    </w:pPr>
    <w:rPr>
      <w:b w:val="1"/>
      <w:sz w:val="24"/>
    </w:rPr>
  </w:style>
  <w:style w:type="paragraph" w:styleId="P10">
    <w:name w:val="Texto sin formato"/>
    <w:basedOn w:val="P0"/>
    <w:next w:val="P10"/>
    <w:pPr/>
    <w:rPr>
      <w:rFonts w:ascii="Courier New" w:hAnsi="Courier New"/>
    </w:rPr>
  </w:style>
  <w:style w:type="paragraph" w:styleId="P11">
    <w:name w:val="Texto independiente 2"/>
    <w:basedOn w:val="P0"/>
    <w:next w:val="P11"/>
    <w:pPr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2003-06-17T16:05:00Z</dcterms:created>
  <cp:lastModifiedBy>Ethan Puglia</cp:lastModifiedBy>
  <cp:lastPrinted>2003-06-18T14:06:00Z</cp:lastPrinted>
  <dcterms:modified xsi:type="dcterms:W3CDTF">2019-03-28T17:33:52Z</dcterms:modified>
  <cp:revision>16</cp:revision>
  <dc:title>ORDENANZA  Nº  5354</dc:title>
</cp:coreProperties>
</file>