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A09A0BD" Type="http://schemas.openxmlformats.org/officeDocument/2006/relationships/officeDocument" Target="/word/document.xml" /><Relationship Id="coreR7A09A0B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6269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1085/02 iniciado por la Sra. Mónica Liliana Martínez solicitando exención de deuda de Tasa por Servicios a la Propiedad y de Tasa por Servicios de Administración y Mantenimiento de los Cementerios;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familia subsiste con ingresos inestables;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vivienda por la cual solicita la exención es de características humildes;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facilitar el pago de lo adeudado y estableciendo los beneficios de la Ordenanza Nº 5485, despacho aprobado por unanimidad en Sesión de fecha 19 de junio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AUTORIZAR </w:t>
      </w:r>
      <w:r>
        <w:rPr>
          <w:rStyle w:val="C3"/>
          <w:rFonts w:ascii="Courier New" w:hAnsi="Courier New"/>
          <w:sz w:val="24"/>
        </w:rPr>
        <w:t>al Departamento Ejecutivo a otorgar un plan de pagos a la solicitante a valores históricos y de acuerdo a las posibilidades para abonar las deudas que en concepto de Tasa por Servicios a la Propiedad y de Tasa por Servicios de Administración y Mantenimiento de los Cementerios, mantiene con el Municipio por el inmueble designación catastral 04-01-152-023-000 y la Identificación Nº 7469 respectivamente.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desde la promulgación de la presente Ordenanza y hasta el 31 de diciembre de 2004 inclusive, la suma de PESOS TRES ($ 3.-), al inmueble designación catastral 04-01-152-023-000, conforme a lo establecido en la Ordenanza Nº 5485, siempre que no varíen los motivos que fundamentan la presente.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04-01-152-023-000 el beneficio otorgado en la presente Ordenanza quedará sin efecto en forma automática.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DIECINUEVE DIAS DEL MES DE JUNIO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2003-06-26T11:20:00Z</dcterms:created>
  <cp:lastModifiedBy>Ethan Puglia</cp:lastModifiedBy>
  <cp:lastPrinted>2002-12-16T12:58:00Z</cp:lastPrinted>
  <dcterms:modified xsi:type="dcterms:W3CDTF">2019-03-28T17:33:52Z</dcterms:modified>
  <cp:revision>8</cp:revision>
  <dc:title>ORDENANZA  Nº  5354</dc:title>
</cp:coreProperties>
</file>