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3203858E" Type="http://schemas.openxmlformats.org/officeDocument/2006/relationships/officeDocument" Target="/word/document.xml" /><Relationship Id="coreR3203858E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6271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real deterioro sufrido en los salarios como consecuencia de la pérdida del valor de la moneda; y</w:t>
      </w: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los salarios de los empleados del Municipio no se reajustan desde marzo de 1994;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de destacar el acompañamiento que brindaron los empleados municipales al Municipio, durante el período de crisis que atravesó nuestro país y del que no fuimos ajenos;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a través del esfuerzo conjunto de la actual gestión de gobierno, y de la colaboración de los empleados, se pudo estabilizar la situación económica financiera del Municipio;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debido a esto, y luego de un consciente y minucioso estudio de las finanzas Municipales y del convencimiento de que una mejora en los ingresos económicos de los empleados municipales, no afectará la prestación de todos los servicios que se brindan a la comunidad y que son prioritarios.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OTÓRGUESE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>a los empleados de planta permanente, personal contratado y personal jornalizado, la suma de PESOS CIENTO TREINTA ($ 130.-) a partir del 1º de julio de 2003, en concepto de adicional no remunerativo, no reintegrable.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</w:t>
      </w:r>
      <w:r>
        <w:rPr>
          <w:rStyle w:val="C3"/>
          <w:rFonts w:ascii="Courier New" w:hAnsi="Courier New"/>
          <w:b w:val="1"/>
          <w:sz w:val="24"/>
          <w:u w:val="single"/>
        </w:rPr>
        <w:t>rt.2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RESTITÚYASE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sz w:val="24"/>
        </w:rPr>
        <w:t xml:space="preserve">la reducción realizada sobre las asignaciones familiares de acuerdo a lo dispuesto en el Decreto Nº 1819/02 del Poder Ejecutivo Nacional, a partir del 1º de junio de 2003 y en tres (3) cuotas iguales, mensuales y consecutivas, abonándose la primera con los haberes del mes de junio. 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3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JUNIO DEL AÑO DOS MIL TRES.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2003-06-26T12:36:00Z</dcterms:created>
  <cp:lastModifiedBy>Ethan Puglia</cp:lastModifiedBy>
  <cp:lastPrinted>2003-06-26T12:34:00Z</cp:lastPrinted>
  <dcterms:modified xsi:type="dcterms:W3CDTF">2019-03-28T17:33:52Z</dcterms:modified>
  <cp:revision>9</cp:revision>
  <dc:title>ORDENANZA  Nº  5354</dc:title>
</cp:coreProperties>
</file>