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2BD90" Type="http://schemas.openxmlformats.org/officeDocument/2006/relationships/officeDocument" Target="/word/document.xml" /><Relationship Id="coreR62BD9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6284</w:t>
      </w: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1135/02 iniciado por la Sra. Antonia Gladys Gómez solicitando exención de deuda de Tasa por Servicios a la Propiedad y de Tasa por Servicios de Administración y Mantenimiento de los Cementerios; y</w:t>
      </w:r>
    </w:p>
    <w:p>
      <w:pPr>
        <w:pStyle w:val="P5"/>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del estudio socioeconómico realizado se desprende que el grupo familiar no cuenta con recursos suficientes para atender sus necesidades básicas ya que su único ingreso proviene de un plan Jefe/as de Hogar;</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solicitante padece serios problemas de salud;</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otorgar los beneficios de la Ordenanza Nº 5485 respecto a la Tasa por Servicios a la Propiedad y fijando una cuota mínima respecto a Tasa por Servicios de Administración y Mantenimiento de los Cementerios, despacho aprobado por unanimidad en Sesión de fecha 26 de junio de 2003.</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FIJAR </w:t>
      </w:r>
      <w:r>
        <w:rPr>
          <w:rStyle w:val="C3"/>
          <w:rFonts w:ascii="Courier New" w:hAnsi="Courier New"/>
          <w:sz w:val="24"/>
        </w:rPr>
        <w:t>como cuota mensual a abonar en concepto de Tasa por Servicios a la Propiedad desde la promulgación de la presente Ordenanza y hasta el 31 de diciembre de 2004 inclusive, la suma de PESOS TRES ($ 3.-), al inmueble designación catastral 04-01-127-024-000, conforme a lo establecido en la Ordenanza Nº 5485, mientras se mantengan los motivos que fundamentan la presente.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POR </w:t>
      </w:r>
      <w:r>
        <w:rPr>
          <w:rStyle w:val="C3"/>
          <w:rFonts w:ascii="Courier New" w:hAnsi="Courier New"/>
          <w:sz w:val="24"/>
        </w:rPr>
        <w:t>cada cuota abonada en término conforme a lo establecido en el Art. 1, se le eximirá de una (1) cuota de la deuda en forma correlativa.</w:t>
      </w:r>
    </w:p>
    <w:p>
      <w:pPr>
        <w:ind w:hanging="709" w:left="709"/>
        <w:jc w:val="both"/>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EN </w:t>
      </w:r>
      <w:r>
        <w:rPr>
          <w:rStyle w:val="C3"/>
          <w:rFonts w:ascii="Courier New" w:hAnsi="Courier New"/>
          <w:sz w:val="24"/>
        </w:rPr>
        <w:t>caso de transferencia del inmueble designación catastral 04-01-127-024-000 el beneficio otorgado en la presente Ordenanza quedará sin efecto en forma automática.</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u w:val="single"/>
        </w:rPr>
        <w:t>:</w:t>
      </w:r>
      <w:r>
        <w:rPr>
          <w:rStyle w:val="C3"/>
          <w:rFonts w:ascii="Courier New" w:hAnsi="Courier New"/>
          <w:b w:val="1"/>
          <w:sz w:val="24"/>
        </w:rPr>
        <w:t xml:space="preserve"> F</w:t>
      </w:r>
      <w:r>
        <w:rPr>
          <w:rStyle w:val="C3"/>
          <w:rFonts w:ascii="Courier New" w:hAnsi="Courier New"/>
          <w:b w:val="1"/>
          <w:sz w:val="24"/>
        </w:rPr>
        <w:t xml:space="preserve">IJAR </w:t>
      </w:r>
      <w:r>
        <w:rPr>
          <w:rStyle w:val="C3"/>
          <w:rFonts w:ascii="Courier New" w:hAnsi="Courier New"/>
          <w:sz w:val="24"/>
        </w:rPr>
        <w:t>como cuota bimestral a abonar en concepto de Tasa por Servicios de Administración y Mantenimiento de los Cementerios por la identificación Nº 3025, la suma de PESOS DOS ($ 2.-) desde la cuota 1/2003 hasta la cuota 6/2004 inclusive.</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5</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VEINTISEIS DIAS DEL MES DE JUNIO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2003-06-30T12:59:00Z</dcterms:created>
  <cp:lastModifiedBy>Ethan Puglia</cp:lastModifiedBy>
  <cp:lastPrinted>2002-12-16T12:58:00Z</cp:lastPrinted>
  <dcterms:modified xsi:type="dcterms:W3CDTF">2019-03-28T17:33:53Z</dcterms:modified>
  <cp:revision>9</cp:revision>
  <dc:title>ORDENANZA  Nº  5354</dc:title>
</cp:coreProperties>
</file>