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D1F034" Type="http://schemas.openxmlformats.org/officeDocument/2006/relationships/officeDocument" Target="/word/document.xml" /><Relationship Id="coreR4ED1F0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125/03 iniciado por la Sra. Adriana Romero solicitando se revea el monto de Tasa por Servicios a la Propiedad del inmueble designación catastral 03-01-192-016-000 de los períodos 04/1994 a 12/1997 y se le permita abonar la deuda a valor original en un plan en cuotas accesibles;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certificado de deuda adjunto al Expediente surge que este gravamen fue reducido a partir del año 1998 a raíz de haberse recategorizado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ls solicitante ha visto deteriorarse su vivienda por problemas de suelo comunes en la zona;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sobrelleva una difícil situación por problemas de salud de uno de sus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AJUSTAR,</w:t>
      </w:r>
      <w:r>
        <w:rPr>
          <w:rStyle w:val="C3"/>
          <w:rFonts w:ascii="Courier New" w:hAnsi="Courier New"/>
          <w:sz w:val="24"/>
        </w:rPr>
        <w:t xml:space="preserve"> en caso de no haber prescripto, los períodos que van desde 04/1994 hasta el 12/1997 al valor de la Tasa mensual actual, es decir de PESOS CINCUENTA Y UNO CON SETENTA ($ 51,70.-), correspondientes al inmueble designación catastral 03-01-192-016-000, manteniendo dicha  Tasa en los períodos 2000; 2001 y 2002 inclusive,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lo que representa Ochenta y un (81) meses a PESOS CINCUENTA Y UNO CON SETENTA ($ 51,70.-) por mes, conformando un total de PESOS CUATRO MIL CIENTO OCHENTA Y SIETE CON SETENTA ($ 4.187,70.-).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un plan de pagos a valores históricos por la cifra total establecida en el Art. 1 que deberá comenzar a regir a partir del 20 de agosto de 2003, con un anticipo de PESOS NOVENTA Y OCHO CON SETENTA ($ 98,70.-) y cuarenta y siete (47) cuotas mensuales de PESOS OCHENTA Y SIETE ($ 87.-) cada una.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LOS </w:t>
      </w:r>
      <w:r>
        <w:rPr>
          <w:rStyle w:val="C3"/>
          <w:rFonts w:ascii="Courier New" w:hAnsi="Courier New"/>
          <w:sz w:val="24"/>
        </w:rPr>
        <w:t>beneficios concedidos en el Art. 2 caducarán ante el atraso en el pago de tres (3) cuotas consecutivas o cinco (5) alternadas, debiendo asimismo abonar al día las tasas actuales.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>al Departamento Ejecutivo interceda ante el abogado procurador actuante a fin de dejar sin efecto la acción judicial iniciada.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2003-07-07T12:33:00Z</dcterms:created>
  <cp:lastModifiedBy>Ethan Puglia</cp:lastModifiedBy>
  <cp:lastPrinted>2002-12-16T12:58:00Z</cp:lastPrinted>
  <dcterms:modified xsi:type="dcterms:W3CDTF">2019-03-28T17:33:53Z</dcterms:modified>
  <cp:revision>9</cp:revision>
  <dc:title>ORDENANZA  Nº  5354</dc:title>
</cp:coreProperties>
</file>