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8E405A" Type="http://schemas.openxmlformats.org/officeDocument/2006/relationships/officeDocument" Target="/word/document.xml" /><Relationship Id="coreR668E405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6302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1078/99 iniciado por la Sra. Ada María Gigena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certificado médico donde consta que la solicitante padece serios problemas de salud requiriendo tratamientos permanentes;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una persona de edad, que vive sola percibiendo una jubilación mínima, escasa para atender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respecto de Tasa por Servicios a la Propiedad y fijando una cuota accesible respecto de Tasa por Servicios de Administración y Mantenimiento de los Cementerios, despacho aprobado por unanimidad en Sesión de fecha 3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la suma de PESOS TRES ($ 3.-), al inmueble designación catastral 03-01-129-009-000,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 en forma correlativa.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bimestral a abonar en concepto de Tasa por Servicios de Administración y Mantenimiento de los Cementerios por las Identificaciones Nº 5864 y Nº 5911, la suma de PESOS DOS ($ 2.-), por cada una de ellas.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.4: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conforme a lo establecido en el Art. 3, se le eximirá de una (1) cuota de la deuda anterior de las respectivas identificaciones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LOS </w:t>
      </w:r>
      <w:r>
        <w:rPr>
          <w:rStyle w:val="C3"/>
          <w:rFonts w:ascii="Courier New" w:hAnsi="Courier New"/>
          <w:sz w:val="24"/>
        </w:rPr>
        <w:t>beneficios establecidos en los Artículos anteriores tendrán vigencia a partir de la promulgación de la presente Ordenanza y hasta el 31 de diciembre de 2004 inclusive, siempre que se mantengan las razones que fundamentan la presente y mientras no se transfiera el inmueble al que se hace referencia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CONMINAR </w:t>
      </w:r>
      <w:r>
        <w:rPr>
          <w:rStyle w:val="C3"/>
          <w:rFonts w:ascii="Courier New" w:hAnsi="Courier New"/>
          <w:sz w:val="24"/>
        </w:rPr>
        <w:t xml:space="preserve">a la solicitante a regularizar la titularidad del inmueble referido en el Art. 1 en los registros municipales y a unificar el número de contribuyente.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2003-07-07T13:56:00Z</dcterms:created>
  <cp:lastModifiedBy>Ethan Puglia</cp:lastModifiedBy>
  <cp:lastPrinted>2002-12-16T12:58:00Z</cp:lastPrinted>
  <dcterms:modified xsi:type="dcterms:W3CDTF">2019-03-28T17:33:53Z</dcterms:modified>
  <cp:revision>11</cp:revision>
  <dc:title>ORDENANZA  Nº  5354</dc:title>
</cp:coreProperties>
</file>