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45FE34A" Type="http://schemas.openxmlformats.org/officeDocument/2006/relationships/officeDocument" Target="/word/document.xml" /><Relationship Id="coreR745FE34A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6316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1102/02 iniciado por la Sra. Sara Torres solicitando exención de Tasa por Servicios a la Propiedad y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indica que la solicitante no cuenta con beneficio alguno percibiendo solamente una pensión municipal de Pesos Treinta y Cinco ($35.-) y que padece importantes problemas de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solicitado, despacho aprobado por unanimidad en Sesión de fecha 10 de julio de 2003.</w:t>
      </w:r>
    </w:p>
    <w:p>
      <w:pPr>
        <w:ind w:hanging="709" w:left="709"/>
        <w:jc w:val="center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1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cien por ciento (100%) la deuda que en concepto de Tasa por Servicios a la Propiedad mantiene con el Municipio el inmueble designación catastral 4-01-120-006-000 haciendo extensiva la exención hasta el 31 de diciembre de 2003.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 xml:space="preserve">EXIMIR </w:t>
      </w:r>
      <w:r>
        <w:rPr>
          <w:rStyle w:val="C3"/>
          <w:rFonts w:ascii="Courier New" w:hAnsi="Courier New"/>
          <w:sz w:val="24"/>
        </w:rPr>
        <w:t>en un cien por ciento (100%) la deuda que en concepto de Tasa por Servicios de Administración y Mantenimiento de los Cementerios mantiene con el Municipio la Contribuyente por la Identificación Nº 2023, haciendo extensiva la exención hasta el 31 de diciembre de 2003.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DIEZ DIAS DEL MES DE JULIO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2003-07-14T10:20:00Z</dcterms:created>
  <cp:lastModifiedBy>Ethan Puglia</cp:lastModifiedBy>
  <cp:lastPrinted>2003-07-11T15:27:00Z</cp:lastPrinted>
  <dcterms:modified xsi:type="dcterms:W3CDTF">2019-03-28T17:33:53Z</dcterms:modified>
  <cp:revision>11</cp:revision>
  <dc:title>ORDENANZA  Nº  5354</dc:title>
</cp:coreProperties>
</file>