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3C0513D" Type="http://schemas.openxmlformats.org/officeDocument/2006/relationships/officeDocument" Target="/word/document.xml" /><Relationship Id="coreR73C0513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6318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319/01 iniciado por la Sra. Amalia Teresa Cocconi solicitando exención de Tasa por Servicios a la Propiedad;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se trata de una persona de avanzada edad, viuda, que vive sola, que no cuenta con pensión, realizando algunas tareas para conseguir recursos que le permitan su sustento y adquirir los medicamentos que necesita;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petición por Comisión de Hacienda, la misma emite despacho accediendo a otorgar una exención parcial y otorgando los beneficios de la Ordenanza Nº 5485, despacho aprobado por unanimidad en Sesión de fecha 10 de julio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ciento (100%) a la Contribuyente Nº 9210 de la deuda no prescripta que en concepto de Tasa por Servicios a la Propiedad mantiene con el Municipio por el inmueble designación catastral 03-01-382-023-000, hasta el 31 de diciembre de 1999.</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FIJAR </w:t>
      </w:r>
      <w:r>
        <w:rPr>
          <w:rStyle w:val="C3"/>
          <w:rFonts w:ascii="Courier New" w:hAnsi="Courier New"/>
          <w:sz w:val="24"/>
        </w:rPr>
        <w:t xml:space="preserve">como cuota mensual a abonar en concepto de Tasa por Servicios a la Propiedad desde la promulgación de la presente  Ordenanza  y  hasta el 31 de diciembre de 2004 inclusive, la suma de PESOS TRES ($ 3.-), al inmueble designación catastral 03-01-382-023-000, conforme a lo establecido en la Ordenanza Nº 5485 siempre que se mantengan las condiciones que fundamentan la presente.</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POR </w:t>
      </w:r>
      <w:r>
        <w:rPr>
          <w:rStyle w:val="C3"/>
          <w:rFonts w:ascii="Courier New" w:hAnsi="Courier New"/>
          <w:sz w:val="24"/>
        </w:rPr>
        <w:t xml:space="preserve">cada cuota abonada en término se le eximirá de dos (2) cuotas de la deuda no eximida en el Art. 1, en forma correlativa.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EN </w:t>
      </w:r>
      <w:r>
        <w:rPr>
          <w:rStyle w:val="C3"/>
          <w:rFonts w:ascii="Courier New" w:hAnsi="Courier New"/>
          <w:sz w:val="24"/>
        </w:rPr>
        <w:t>caso de transferencia del inmueble designación catastral 03-01-382-023-000 los beneficios otorgados en los Art. 2 y 3 de la presente Ordenanza quedarán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SOLICITAR </w:t>
      </w:r>
      <w:r>
        <w:rPr>
          <w:rStyle w:val="C3"/>
          <w:rFonts w:ascii="Courier New" w:hAnsi="Courier New"/>
          <w:sz w:val="24"/>
        </w:rPr>
        <w:t>al Departamento Ejecutivo interceda ante el procurador actuante a fin de dejar sin efecto el juicio iniciado y los honorarios que correspondieren conforme a lo establecido por la cláusula 13 del convenio suscripto con la Municipalidad.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6</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2003-07-14T12:51:00Z</dcterms:created>
  <cp:lastModifiedBy>Ethan Puglia</cp:lastModifiedBy>
  <cp:lastPrinted>2003-07-14T15:26:00Z</cp:lastPrinted>
  <dcterms:modified xsi:type="dcterms:W3CDTF">2019-03-28T17:33:53Z</dcterms:modified>
  <cp:revision>15</cp:revision>
  <dc:title>ORDENANZA  Nº  5354</dc:title>
</cp:coreProperties>
</file>