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D970561" Type="http://schemas.openxmlformats.org/officeDocument/2006/relationships/officeDocument" Target="/word/document.xml" /><Relationship Id="coreR4D97056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5"/>
      </w:pPr>
      <w:r>
        <w:t xml:space="preserve">ORDENANZA  Nº 6327</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r>
        <w:rPr>
          <w:rStyle w:val="C3"/>
          <w:rFonts w:ascii="Courier New" w:hAnsi="Courier New"/>
          <w:sz w:val="24"/>
        </w:rPr>
        <w:t>Visto: La Ordenanza Nº 3873 y sus modificatorias; y</w:t>
      </w:r>
    </w:p>
    <w:p>
      <w:pPr>
        <w:jc w:val="both"/>
        <w:rPr>
          <w:rStyle w:val="C3"/>
          <w:rFonts w:ascii="Courier New" w:hAnsi="Courier New"/>
          <w:sz w:val="24"/>
        </w:rPr>
      </w:pPr>
    </w:p>
    <w:p>
      <w:pPr>
        <w:jc w:val="both"/>
        <w:rPr>
          <w:rStyle w:val="C3"/>
          <w:rFonts w:ascii="Courier New" w:hAnsi="Courier New"/>
          <w:sz w:val="24"/>
        </w:rPr>
      </w:pPr>
    </w:p>
    <w:p>
      <w:pPr>
        <w:pStyle w:val="P4"/>
        <w:rPr>
          <w:rStyle w:val="C3"/>
          <w:b w:val="1"/>
        </w:rPr>
      </w:pPr>
      <w:r>
        <w:rPr>
          <w:rStyle w:val="C3"/>
          <w:b w:val="1"/>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en virtud del texto de la Ordenanza surgen aspectos no contemplados y que en otros casos,  obstaculizan la misión de la Dirección de Ingresos Públicos como autoridad de aplicación;  </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las modificaciones tienen como objetivo facilitar dicha misión ajustando las normas a la realidad económica sobre la base de la experiencia administrativa obtenida;</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Que deben fijarse por su intermedio normas claras y de carácter general;</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Que se intenta de esta manera salvaguardar los intereses del fisco municipal tratando de evitar la caída de las acciones para el cobro de tributos  por el transcurso del tiempo Art. 36 Capítulo VII del Título Unico del Libro I de la Ordenanza Impositiva Nº 3873 y sus modificatorias.</w:t>
      </w:r>
    </w:p>
    <w:p>
      <w:pPr>
        <w:ind w:left="709"/>
        <w:jc w:val="both"/>
        <w:rPr>
          <w:rStyle w:val="C3"/>
          <w:rFonts w:ascii="Courier New" w:hAnsi="Courier New"/>
          <w:sz w:val="24"/>
        </w:rPr>
      </w:pPr>
    </w:p>
    <w:p>
      <w:pPr>
        <w:jc w:val="both"/>
        <w:rPr>
          <w:rStyle w:val="C3"/>
          <w:rFonts w:ascii="Courier New" w:hAnsi="Courier New"/>
          <w:sz w:val="24"/>
        </w:rPr>
      </w:pPr>
    </w:p>
    <w:p>
      <w:pPr>
        <w:pStyle w:val="P6"/>
      </w:pPr>
      <w:r>
        <w:t xml:space="preserve">EL HONORABLE CONCEJO DELIBERANTE DE LA CIUDAD DE </w:t>
      </w:r>
    </w:p>
    <w:p>
      <w:pPr>
        <w:tabs>
          <w:tab w:val="left" w:pos="709" w:leader="none"/>
        </w:tabs>
        <w:ind w:left="709"/>
        <w:jc w:val="center"/>
        <w:rPr>
          <w:rStyle w:val="C3"/>
          <w:rFonts w:ascii="Courier New" w:hAnsi="Courier New"/>
          <w:b w:val="1"/>
          <w:sz w:val="24"/>
        </w:rPr>
      </w:pPr>
    </w:p>
    <w:p>
      <w:pPr>
        <w:tabs>
          <w:tab w:val="left" w:pos="709" w:leader="none"/>
        </w:tabs>
        <w:ind w:left="709"/>
        <w:jc w:val="center"/>
        <w:rPr>
          <w:rStyle w:val="C3"/>
          <w:rFonts w:ascii="Courier New" w:hAnsi="Courier New"/>
          <w:b w:val="1"/>
          <w:sz w:val="24"/>
        </w:rPr>
      </w:pPr>
    </w:p>
    <w:p>
      <w:pPr>
        <w:tabs>
          <w:tab w:val="left" w:pos="709" w:leader="none"/>
        </w:tabs>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jc w:val="both"/>
        <w:rPr>
          <w:rStyle w:val="C3"/>
          <w:rFonts w:ascii="Courier New" w:hAnsi="Courier New"/>
          <w:sz w:val="24"/>
        </w:rPr>
      </w:pP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SE</w:t>
      </w:r>
      <w:r>
        <w:rPr>
          <w:rStyle w:val="C3"/>
          <w:rFonts w:ascii="Courier New" w:hAnsi="Courier New"/>
          <w:sz w:val="24"/>
        </w:rPr>
        <w:t xml:space="preserve"> agregue a continuación del Art. 36 y como Art. 36 bis en la Ordenanza Nº 3873 el siguiente texto: </w:t>
      </w:r>
    </w:p>
    <w:p>
      <w:pPr>
        <w:ind w:firstLine="709"/>
        <w:jc w:val="both"/>
        <w:rPr>
          <w:rStyle w:val="C3"/>
          <w:rFonts w:ascii="Courier New" w:hAnsi="Courier New"/>
          <w:sz w:val="24"/>
          <w:u w:val="single"/>
        </w:rPr>
      </w:pPr>
      <w:r>
        <w:rPr>
          <w:rStyle w:val="C3"/>
          <w:rFonts w:ascii="Courier New" w:hAnsi="Courier New"/>
          <w:sz w:val="24"/>
          <w:u w:val="single"/>
        </w:rPr>
        <w:t>“Art.36 Bis:</w:t>
      </w:r>
    </w:p>
    <w:p>
      <w:pPr>
        <w:jc w:val="both"/>
        <w:rPr>
          <w:rStyle w:val="C3"/>
          <w:rFonts w:ascii="Courier New" w:hAnsi="Courier New"/>
          <w:sz w:val="24"/>
        </w:rPr>
      </w:pPr>
    </w:p>
    <w:p>
      <w:pPr>
        <w:pStyle w:val="P7"/>
      </w:pPr>
      <w:r>
        <w:t>SUSPENSIÓN DE LA PRESCRIPCIÓN</w:t>
      </w: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Se suspenderá por un (1) año el curso de la prescripción de las acciones y poderes fiscales.</w:t>
      </w:r>
    </w:p>
    <w:p>
      <w:pPr>
        <w:ind w:hanging="425" w:left="1134"/>
        <w:jc w:val="right"/>
        <w:rPr>
          <w:rStyle w:val="C3"/>
          <w:rFonts w:ascii="Courier New" w:hAnsi="Courier New"/>
          <w:sz w:val="24"/>
        </w:rPr>
      </w:pPr>
      <w:r>
        <w:rPr>
          <w:rStyle w:val="C3"/>
          <w:rFonts w:ascii="Courier New" w:hAnsi="Courier New"/>
          <w:sz w:val="24"/>
        </w:rPr>
        <w:t>...///</w:t>
      </w: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...///2.-</w:t>
      </w: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p>
    <w:p>
      <w:pPr>
        <w:ind w:hanging="425" w:left="1134"/>
        <w:jc w:val="both"/>
        <w:rPr>
          <w:rStyle w:val="C3"/>
          <w:rFonts w:ascii="Courier New" w:hAnsi="Courier New"/>
          <w:sz w:val="24"/>
        </w:rPr>
      </w:pPr>
      <w:r>
        <w:rPr>
          <w:rStyle w:val="C3"/>
          <w:rFonts w:ascii="Courier New" w:hAnsi="Courier New"/>
          <w:sz w:val="24"/>
        </w:rPr>
        <w:t xml:space="preserve">a) Desde la fecha de intimación administrativa de pago de tributos determinados, cierta o presuntivamente, con relación a las acciones y poderes fiscales para exigir el pago intimado. Cuando mediare recurso de  Reconsideración ante el Tribunal  Administrativo de Faltas, la suspensión, hasta el importe del tributo liquidado, se prolongará hasta noventa (90) días después de notificada la resolución del mismo que declare su incompetencia, determine el tributo, o apruebe la liquidación practicada en su consecuencia. La intimación de pago efectuada al deudor principal, suspende la prescripción de las acciones y poderes del Fisco respecto de los responsables solidarios.</w:t>
      </w:r>
    </w:p>
    <w:p>
      <w:pPr>
        <w:ind w:hanging="425" w:left="1134"/>
        <w:jc w:val="both"/>
        <w:rPr>
          <w:rStyle w:val="C3"/>
          <w:rFonts w:ascii="Courier New" w:hAnsi="Courier New"/>
          <w:sz w:val="24"/>
        </w:rPr>
      </w:pPr>
      <w:r>
        <w:rPr>
          <w:rStyle w:val="C3"/>
          <w:rFonts w:ascii="Courier New" w:hAnsi="Courier New"/>
          <w:sz w:val="24"/>
        </w:rPr>
        <w:t>b) Desde la fecha de intimación administrativa de pago de multas. Si la multa fuera recurrida ante el Tribunal Administrativo de Faltas, el término de la suspensión se contara desde la fecha de la resolución recurrida hasta noventa (90) días después de notificada la resolución del mismo.</w:t>
      </w:r>
    </w:p>
    <w:p>
      <w:pPr>
        <w:jc w:val="both"/>
        <w:rPr>
          <w:rStyle w:val="C3"/>
          <w:rFonts w:ascii="Courier New" w:hAnsi="Courier New"/>
          <w:sz w:val="24"/>
        </w:rPr>
      </w:pPr>
    </w:p>
    <w:p>
      <w:pPr>
        <w:pStyle w:val="P7"/>
      </w:pPr>
      <w:r>
        <w:t>INTERRUPCION DE LA PRESCRIPCIÓN</w:t>
      </w:r>
    </w:p>
    <w:p>
      <w:pPr>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La prescripción de las acciones y poderes del fisco para determinar y exigir el pago de tributos y multas o hacerlas efectivas se interrumpirá:</w:t>
      </w:r>
    </w:p>
    <w:p>
      <w:pPr>
        <w:ind w:hanging="425" w:left="1134"/>
        <w:jc w:val="both"/>
        <w:rPr>
          <w:rStyle w:val="C3"/>
          <w:rFonts w:ascii="Courier New" w:hAnsi="Courier New"/>
          <w:sz w:val="24"/>
        </w:rPr>
      </w:pPr>
      <w:r>
        <w:rPr>
          <w:rStyle w:val="C3"/>
          <w:rFonts w:ascii="Courier New" w:hAnsi="Courier New"/>
          <w:sz w:val="24"/>
        </w:rPr>
        <w:t>a) Por el reconocimiento expreso o tácito de la obligación tributaria</w:t>
      </w:r>
    </w:p>
    <w:p>
      <w:pPr>
        <w:ind w:left="709"/>
        <w:jc w:val="both"/>
        <w:rPr>
          <w:rStyle w:val="C3"/>
          <w:rFonts w:ascii="Courier New" w:hAnsi="Courier New"/>
          <w:sz w:val="24"/>
        </w:rPr>
      </w:pPr>
      <w:r>
        <w:rPr>
          <w:rStyle w:val="C3"/>
          <w:rFonts w:ascii="Courier New" w:hAnsi="Courier New"/>
          <w:sz w:val="24"/>
        </w:rPr>
        <w:t>b) Por renuncia del término de la prescripción en curso</w:t>
      </w:r>
    </w:p>
    <w:p>
      <w:pPr>
        <w:ind w:hanging="425" w:left="1134"/>
        <w:jc w:val="both"/>
        <w:rPr>
          <w:rStyle w:val="C3"/>
          <w:rFonts w:ascii="Courier New" w:hAnsi="Courier New"/>
          <w:sz w:val="24"/>
        </w:rPr>
      </w:pPr>
      <w:r>
        <w:rPr>
          <w:rStyle w:val="C3"/>
          <w:rFonts w:ascii="Courier New" w:hAnsi="Courier New"/>
          <w:sz w:val="24"/>
        </w:rPr>
        <w:t xml:space="preserve">c) Por el juicio de ejecución fiscal iniciado contra el contribuyente o responsable en los casos de tratarse de impuestos determinados en una resolución del Tribunal Administrativo de Faltas debidamente notificada o una intimación o resolución administrativa debidamente notificada  y no recurrida por el contribuyente o en casos de otra índole, por cualquier acto judicial tendiente a obtener el cobro de lo adeudado.</w:t>
      </w:r>
    </w:p>
    <w:p>
      <w:pPr>
        <w:tabs>
          <w:tab w:val="left" w:pos="851" w:leader="none"/>
          <w:tab w:val="left" w:pos="993" w:leader="none"/>
        </w:tabs>
        <w:ind w:hanging="425" w:left="1134"/>
        <w:jc w:val="both"/>
        <w:rPr>
          <w:rStyle w:val="C3"/>
          <w:rFonts w:ascii="Courier New" w:hAnsi="Courier New"/>
          <w:sz w:val="24"/>
        </w:rPr>
      </w:pPr>
      <w:r>
        <w:rPr>
          <w:rStyle w:val="C3"/>
          <w:rFonts w:ascii="Courier New" w:hAnsi="Courier New"/>
          <w:sz w:val="24"/>
        </w:rPr>
        <w:t xml:space="preserve">d) Por la comisión de nuevas infracciones por las que se apliquen multas, en cuyo caso el nuevo término de la </w:t>
      </w:r>
    </w:p>
    <w:p>
      <w:pPr>
        <w:tabs>
          <w:tab w:val="left" w:pos="851" w:leader="none"/>
          <w:tab w:val="left" w:pos="993" w:leader="none"/>
        </w:tabs>
        <w:ind w:hanging="425" w:left="1134"/>
        <w:jc w:val="right"/>
        <w:rPr>
          <w:rStyle w:val="C3"/>
          <w:rFonts w:ascii="Courier New" w:hAnsi="Courier New"/>
          <w:sz w:val="24"/>
        </w:rPr>
      </w:pPr>
      <w:r>
        <w:rPr>
          <w:rStyle w:val="C3"/>
          <w:rFonts w:ascii="Courier New" w:hAnsi="Courier New"/>
          <w:sz w:val="24"/>
        </w:rPr>
        <w:t>...///</w:t>
      </w: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hanging="425" w:left="1134"/>
        <w:jc w:val="both"/>
        <w:rPr>
          <w:rStyle w:val="C3"/>
          <w:rFonts w:ascii="Courier New" w:hAnsi="Courier New"/>
          <w:sz w:val="24"/>
        </w:rPr>
      </w:pPr>
    </w:p>
    <w:p>
      <w:pPr>
        <w:tabs>
          <w:tab w:val="left" w:pos="0" w:leader="none"/>
        </w:tabs>
        <w:jc w:val="both"/>
        <w:rPr>
          <w:rStyle w:val="C3"/>
          <w:rFonts w:ascii="Courier New" w:hAnsi="Courier New"/>
          <w:sz w:val="24"/>
        </w:rPr>
      </w:pPr>
      <w:r>
        <w:rPr>
          <w:rStyle w:val="C3"/>
          <w:rFonts w:ascii="Courier New" w:hAnsi="Courier New"/>
          <w:sz w:val="24"/>
        </w:rPr>
        <w:t>...///3.-</w:t>
      </w: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hanging="425" w:left="1134"/>
        <w:jc w:val="both"/>
        <w:rPr>
          <w:rStyle w:val="C3"/>
          <w:rFonts w:ascii="Courier New" w:hAnsi="Courier New"/>
          <w:sz w:val="24"/>
        </w:rPr>
      </w:pPr>
    </w:p>
    <w:p>
      <w:pPr>
        <w:tabs>
          <w:tab w:val="left" w:pos="851" w:leader="none"/>
          <w:tab w:val="left" w:pos="993" w:leader="none"/>
        </w:tabs>
        <w:ind w:left="1134"/>
        <w:jc w:val="both"/>
        <w:rPr>
          <w:rStyle w:val="C3"/>
          <w:rFonts w:ascii="Courier New" w:hAnsi="Courier New"/>
          <w:sz w:val="24"/>
        </w:rPr>
      </w:pPr>
      <w:r>
        <w:rPr>
          <w:rStyle w:val="C3"/>
          <w:rFonts w:ascii="Courier New" w:hAnsi="Courier New"/>
          <w:sz w:val="24"/>
        </w:rPr>
        <w:t xml:space="preserve">prescripción comenzará a correr desde el 1º de enero siguiente al año en que tuvo lugar el hecho u omisión  punible.</w:t>
      </w:r>
    </w:p>
    <w:p>
      <w:pPr>
        <w:ind w:left="709"/>
        <w:jc w:val="both"/>
        <w:rPr>
          <w:rStyle w:val="C3"/>
          <w:rFonts w:ascii="Courier New" w:hAnsi="Courier New"/>
          <w:sz w:val="24"/>
        </w:rPr>
      </w:pPr>
    </w:p>
    <w:p>
      <w:pPr>
        <w:ind w:left="709"/>
        <w:jc w:val="both"/>
        <w:rPr>
          <w:rStyle w:val="C3"/>
          <w:rFonts w:ascii="Courier New" w:hAnsi="Courier New"/>
          <w:sz w:val="24"/>
        </w:rPr>
      </w:pPr>
      <w:r>
        <w:rPr>
          <w:rStyle w:val="C3"/>
          <w:rFonts w:ascii="Courier New" w:hAnsi="Courier New"/>
          <w:sz w:val="24"/>
        </w:rPr>
        <w:t xml:space="preserve">A los fines del cómputo del término de prescripción referido en este artículo, comenzará a  correr desde el 1º de enero siguiente al año en que se produzca el vencimiento de los plazos mencionados”.</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sz w:val="24"/>
        </w:rPr>
        <w:t xml:space="preserve"> </w:t>
      </w:r>
      <w:r>
        <w:rPr>
          <w:rStyle w:val="C3"/>
          <w:rFonts w:ascii="Courier New" w:hAnsi="Courier New"/>
          <w:b w:val="1"/>
          <w:sz w:val="24"/>
        </w:rPr>
        <w:t>AGREGAR</w:t>
      </w:r>
      <w:r>
        <w:rPr>
          <w:rStyle w:val="C3"/>
          <w:rFonts w:ascii="Courier New" w:hAnsi="Courier New"/>
          <w:sz w:val="24"/>
        </w:rPr>
        <w:t xml:space="preserve"> a continuación del Art. 72 y como Art. 72 bis en la Ordenanza Nº 3873 el siguiente texto:</w:t>
      </w:r>
    </w:p>
    <w:p>
      <w:pPr>
        <w:ind w:left="709"/>
        <w:jc w:val="both"/>
        <w:rPr>
          <w:rStyle w:val="C3"/>
          <w:rFonts w:ascii="Courier New" w:hAnsi="Courier New"/>
          <w:sz w:val="24"/>
        </w:rPr>
      </w:pPr>
      <w:r>
        <w:rPr>
          <w:rStyle w:val="C3"/>
          <w:rFonts w:ascii="Courier New" w:hAnsi="Courier New"/>
          <w:sz w:val="24"/>
          <w:u w:val="single"/>
        </w:rPr>
        <w:t>“Art. 72 Bis:</w:t>
      </w:r>
      <w:r>
        <w:rPr>
          <w:rStyle w:val="C3"/>
          <w:rFonts w:ascii="Courier New" w:hAnsi="Courier New"/>
          <w:sz w:val="24"/>
        </w:rPr>
        <w:t>” Son contribuyentes de las tasas determinadas en el presente título quienes adquieran propiedades inmuebles por subasta o remate, público o privado, desde la fecha de su realización o acto que la deje firme, lo que sea anterior”.</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sz w:val="24"/>
        </w:rPr>
        <w:t xml:space="preserve"> </w:t>
      </w:r>
      <w:r>
        <w:rPr>
          <w:rStyle w:val="C3"/>
          <w:rFonts w:ascii="Courier New" w:hAnsi="Courier New"/>
          <w:b w:val="1"/>
          <w:sz w:val="24"/>
        </w:rPr>
        <w:t>AGREGAR</w:t>
      </w:r>
      <w:r>
        <w:rPr>
          <w:rStyle w:val="C3"/>
          <w:rFonts w:ascii="Courier New" w:hAnsi="Courier New"/>
          <w:sz w:val="24"/>
        </w:rPr>
        <w:t xml:space="preserve"> a  continuación del 1er párrafo del articulo 43 Capítulo 9 Titulo Unico del Libro Primero, de la Ordenanza Nº 3873 el siguiente texto ”... y/ o aplicar el Art. 35 del Capítulo VII de la presente ordenanza impositiva”.</w:t>
      </w:r>
    </w:p>
    <w:p>
      <w:pPr>
        <w:jc w:val="both"/>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sz w:val="24"/>
        </w:rPr>
        <w:t xml:space="preserve"> </w:t>
      </w:r>
      <w:r>
        <w:rPr>
          <w:rStyle w:val="C3"/>
          <w:rFonts w:ascii="Courier New" w:hAnsi="Courier New"/>
          <w:b w:val="1"/>
          <w:sz w:val="24"/>
        </w:rPr>
        <w:t>SUPRIMIR</w:t>
      </w:r>
      <w:r>
        <w:rPr>
          <w:rStyle w:val="C3"/>
          <w:rFonts w:ascii="Courier New" w:hAnsi="Courier New"/>
          <w:sz w:val="24"/>
        </w:rPr>
        <w:t xml:space="preserve"> el 4to. párrafo del Art. 197 del Capítulo VI Titulo XII del Libro Segundo de la Ordenanza Impositiva Nº 3873 que comienza ”... Por cambio de radicación municipal......que resta abonar por ese periodo anual”.</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sz w:val="24"/>
        </w:rPr>
        <w:t xml:space="preserve"> </w:t>
      </w:r>
      <w:r>
        <w:rPr>
          <w:rStyle w:val="C3"/>
          <w:rFonts w:ascii="Courier New" w:hAnsi="Courier New"/>
          <w:b w:val="1"/>
          <w:sz w:val="24"/>
        </w:rPr>
        <w:t>SUPRIMIR</w:t>
      </w:r>
      <w:r>
        <w:rPr>
          <w:rStyle w:val="C3"/>
          <w:rFonts w:ascii="Courier New" w:hAnsi="Courier New"/>
          <w:sz w:val="24"/>
        </w:rPr>
        <w:t xml:space="preserve"> el 2do y el 3er párrafo del Art. 198 del Capítulo VI del Titulo XII del Libro Segundo de la Ordenanza Impositiva Nº 3873.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Art.6:</w:t>
      </w:r>
      <w:r>
        <w:rPr>
          <w:rStyle w:val="C3"/>
          <w:rFonts w:ascii="Courier New" w:hAnsi="Courier New"/>
          <w:sz w:val="24"/>
        </w:rPr>
        <w:t xml:space="preserve"> </w:t>
      </w:r>
      <w:r>
        <w:rPr>
          <w:rStyle w:val="C3"/>
          <w:rFonts w:ascii="Courier New" w:hAnsi="Courier New"/>
          <w:b w:val="1"/>
          <w:sz w:val="24"/>
        </w:rPr>
        <w:t xml:space="preserve">MODIFICAR </w:t>
      </w:r>
      <w:r>
        <w:rPr>
          <w:rStyle w:val="C3"/>
          <w:rFonts w:ascii="Courier New" w:hAnsi="Courier New"/>
          <w:sz w:val="24"/>
        </w:rPr>
        <w:t>el Art. 113 del Capítulo IV del Titulo II del Libro Segundo de la Ordenanza Nº 3873 por el siguiente texto:</w:t>
      </w:r>
    </w:p>
    <w:p>
      <w:pPr>
        <w:tabs>
          <w:tab w:val="left" w:pos="709" w:leader="none"/>
        </w:tabs>
        <w:ind w:left="709"/>
        <w:jc w:val="both"/>
        <w:rPr>
          <w:rStyle w:val="C3"/>
          <w:rFonts w:ascii="Courier New" w:hAnsi="Courier New"/>
          <w:sz w:val="24"/>
        </w:rPr>
      </w:pPr>
      <w:r>
        <w:rPr>
          <w:rStyle w:val="C3"/>
          <w:rFonts w:ascii="Courier New" w:hAnsi="Courier New"/>
          <w:sz w:val="24"/>
          <w:u w:val="single"/>
        </w:rPr>
        <w:t>“Art.113:</w:t>
      </w:r>
      <w:r>
        <w:rPr>
          <w:rStyle w:val="C3"/>
          <w:rFonts w:ascii="Courier New" w:hAnsi="Courier New"/>
          <w:sz w:val="24"/>
        </w:rPr>
        <w:t xml:space="preserve"> Todo cese de actividad en la jurisdicción municipal (incluido transferencias de fondo de comercio, sociedades y explotaciones gravadas) deberá ser precedido  de  la   cancelación  total  de  los importes </w:t>
      </w:r>
    </w:p>
    <w:p>
      <w:pPr>
        <w:tabs>
          <w:tab w:val="left" w:pos="709" w:leader="none"/>
        </w:tabs>
        <w:ind w:left="709"/>
        <w:jc w:val="right"/>
        <w:rPr>
          <w:rStyle w:val="C3"/>
          <w:rFonts w:ascii="Courier New" w:hAnsi="Courier New"/>
          <w:sz w:val="24"/>
        </w:rPr>
      </w:pPr>
      <w:r>
        <w:rPr>
          <w:rStyle w:val="C3"/>
          <w:rFonts w:ascii="Courier New" w:hAnsi="Courier New"/>
          <w:sz w:val="24"/>
        </w:rPr>
        <w:t>...///</w:t>
      </w: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p>
    <w:p>
      <w:pPr>
        <w:tabs>
          <w:tab w:val="left" w:pos="0" w:leader="none"/>
        </w:tabs>
        <w:jc w:val="both"/>
        <w:rPr>
          <w:rStyle w:val="C3"/>
          <w:rFonts w:ascii="Courier New" w:hAnsi="Courier New"/>
          <w:sz w:val="24"/>
        </w:rPr>
      </w:pPr>
      <w:r>
        <w:rPr>
          <w:rStyle w:val="C3"/>
          <w:rFonts w:ascii="Courier New" w:hAnsi="Courier New"/>
          <w:sz w:val="24"/>
        </w:rPr>
        <w:t>...///4.-</w:t>
      </w: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p>
    <w:p>
      <w:pPr>
        <w:tabs>
          <w:tab w:val="left" w:pos="709" w:leader="none"/>
        </w:tabs>
        <w:ind w:left="709"/>
        <w:jc w:val="both"/>
        <w:rPr>
          <w:rStyle w:val="C3"/>
          <w:rFonts w:ascii="Courier New" w:hAnsi="Courier New"/>
          <w:sz w:val="24"/>
        </w:rPr>
      </w:pPr>
      <w:r>
        <w:rPr>
          <w:rStyle w:val="C3"/>
          <w:rFonts w:ascii="Courier New" w:hAnsi="Courier New"/>
          <w:sz w:val="24"/>
        </w:rPr>
        <w:t xml:space="preserve">adeudados o formalizar por los mismos un plan de pagos en cuotas con garantía a satisfacción de la Dirección de Ingresos Públicos. En cuanto a las obligaciones formales como ser presentación de Declaraciones Juradas etc., se regirán por las normas de la  presente ordenanza </w:t>
      </w:r>
    </w:p>
    <w:p>
      <w:pPr>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Art.7:</w:t>
      </w:r>
      <w:r>
        <w:rPr>
          <w:rStyle w:val="C3"/>
          <w:rFonts w:ascii="Courier New" w:hAnsi="Courier New"/>
          <w:sz w:val="24"/>
        </w:rPr>
        <w:t xml:space="preserve"> </w:t>
      </w:r>
      <w:r>
        <w:rPr>
          <w:rStyle w:val="C3"/>
          <w:rFonts w:ascii="Courier New" w:hAnsi="Courier New"/>
          <w:b w:val="1"/>
          <w:sz w:val="24"/>
        </w:rPr>
        <w:t>MODIFICAR</w:t>
      </w:r>
      <w:r>
        <w:rPr>
          <w:rStyle w:val="C3"/>
          <w:rFonts w:ascii="Courier New" w:hAnsi="Courier New"/>
          <w:sz w:val="24"/>
        </w:rPr>
        <w:t xml:space="preserve">  la naturaleza de la  exención objetiva a subjetiva referida en el inc. 13 del Art. 118 del Capítulo V del Titulo II de la Ordenanza Nº 3873, agregando el siguiente texto: “El contribuyente deberá acreditar por lapsos de seis (6) meses y en carácter de Declaración Jurada el monto del Activo a fin de renovar este beneficio”.   </w:t>
      </w:r>
    </w:p>
    <w:p>
      <w:pPr>
        <w:jc w:val="both"/>
        <w:rPr>
          <w:rStyle w:val="C3"/>
          <w:rFonts w:ascii="Courier New" w:hAnsi="Courier New"/>
          <w:sz w:val="24"/>
        </w:rPr>
      </w:pPr>
      <w:r>
        <w:rPr>
          <w:rStyle w:val="C3"/>
          <w:rFonts w:ascii="Courier New" w:hAnsi="Courier New"/>
          <w:sz w:val="24"/>
        </w:rPr>
        <w:t xml:space="preserve"> </w:t>
      </w:r>
    </w:p>
    <w:p>
      <w:pPr>
        <w:ind w:hanging="709" w:left="709"/>
        <w:jc w:val="both"/>
        <w:rPr>
          <w:rStyle w:val="C3"/>
          <w:rFonts w:ascii="Courier New" w:hAnsi="Courier New"/>
          <w:sz w:val="24"/>
        </w:rPr>
      </w:pPr>
      <w:r>
        <w:rPr>
          <w:rStyle w:val="C3"/>
          <w:rFonts w:ascii="Courier New" w:hAnsi="Courier New"/>
          <w:b w:val="1"/>
          <w:sz w:val="24"/>
          <w:u w:val="single"/>
        </w:rPr>
        <w:t>Art.8:</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rPr>
          <w:rStyle w:val="C3"/>
          <w:rFonts w:ascii="Courier New" w:hAnsi="Courier New"/>
          <w:b w:val="1"/>
          <w:sz w:val="24"/>
        </w:rPr>
      </w:pPr>
    </w:p>
    <w:p>
      <w:pPr>
        <w:rPr>
          <w:rStyle w:val="C3"/>
          <w:rFonts w:ascii="Courier New" w:hAnsi="Courier New"/>
          <w:b w:val="1"/>
          <w:sz w:val="24"/>
        </w:rPr>
      </w:pPr>
    </w:p>
    <w:p>
      <w:pPr>
        <w:rPr>
          <w:rStyle w:val="C3"/>
          <w:rFonts w:ascii="Courier New" w:hAnsi="Courier New"/>
          <w:b w:val="1"/>
          <w:sz w:val="24"/>
        </w:rPr>
      </w:pPr>
    </w:p>
    <w:p>
      <w:pPr>
        <w:rPr>
          <w:rStyle w:val="C3"/>
          <w:rFonts w:ascii="Courier New" w:hAnsi="Courier New"/>
          <w:b w:val="1"/>
          <w:sz w:val="24"/>
        </w:rPr>
      </w:pPr>
    </w:p>
    <w:p>
      <w:pPr>
        <w:rPr>
          <w:rStyle w:val="C3"/>
          <w:rFonts w:ascii="Courier New" w:hAnsi="Courier New"/>
          <w:b w:val="1"/>
          <w:sz w:val="24"/>
        </w:rPr>
      </w:pPr>
      <w:r>
        <w:rPr>
          <w:rStyle w:val="C3"/>
          <w:rFonts w:ascii="Courier New" w:hAnsi="Courier New"/>
          <w:b w:val="1"/>
          <w:sz w:val="24"/>
        </w:rPr>
        <w:t>DADA EN LA SALA DE SESIONES DEL HONORABLE CONCEJO DELIBERANTE A DIEZ DIAS DEL MES DE JULIO DEL AÑO DOS MIL TRES.</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jc w:val="both"/>
        <w:rPr>
          <w:rStyle w:val="C3"/>
          <w:rFonts w:ascii="Courier New" w:hAnsi="Courier New"/>
          <w:sz w:val="24"/>
        </w:rPr>
      </w:pPr>
      <w:r>
        <w:rPr>
          <w:rStyle w:val="C3"/>
          <w:rFonts w:ascii="Courier New" w:hAnsi="Courier New"/>
          <w:sz w:val="24"/>
        </w:rPr>
        <w:t xml:space="preserve">  </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sectPr>
      <w:type w:val="nextPage"/>
      <w:pgSz w:w="11907" w:h="16840" w:code="0"/>
      <w:pgMar w:left="1418" w:right="1701" w:top="1418" w:bottom="1418" w:header="708" w:footer="708" w:gutter="0"/>
    </w:sectPr>
  </w:body>
</w:document>
</file>

<file path=word/numbering.xml><?xml version="1.0" encoding="utf-8"?>
<w:numbering xmlns:w="http://schemas.openxmlformats.org/wordprocessingml/2006/main">
  <w:abstractNum w:abstractNumId="0">
    <w:nsid w:val="0FA9065F"/>
    <w:multiLevelType w:val="hybridMultilevel"/>
    <w:lvl w:ilvl="0" w:tplc="77D56876">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0F40AB7"/>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15DF39ED"/>
    <w:multiLevelType w:val="hybridMultilevel"/>
    <w:lvl w:ilvl="0" w:tplc="19A3CAFC">
      <w:start w:val="1"/>
      <w:numFmt w:val="bullet"/>
      <w:suff w:val="tab"/>
      <w:lvlText w:val=""/>
      <w:lvlJc w:val="left"/>
      <w:pPr>
        <w:ind w:hanging="360" w:left="360"/>
        <w:tabs>
          <w:tab w:val="left" w:pos="360" w:leader="none"/>
        </w:tabs>
      </w:pPr>
      <w:rPr>
        <w:rFonts w:ascii="Symbol" w:hAnsi="Symbol"/>
      </w:rPr>
    </w:lvl>
    <w:lvl w:ilvl="1" w:tplc="7DBE8BED">
      <w:start w:val="1"/>
      <w:numFmt w:val="bullet"/>
      <w:suff w:val="tab"/>
      <w:lvlText w:val="o"/>
      <w:lvlJc w:val="left"/>
      <w:pPr>
        <w:ind w:hanging="360" w:left="1080"/>
        <w:tabs>
          <w:tab w:val="left" w:pos="1080" w:leader="none"/>
        </w:tabs>
      </w:pPr>
      <w:rPr>
        <w:rFonts w:ascii="Courier New" w:hAnsi="Courier New"/>
      </w:rPr>
    </w:lvl>
    <w:lvl w:ilvl="2" w:tplc="501A70BB">
      <w:start w:val="1"/>
      <w:numFmt w:val="bullet"/>
      <w:suff w:val="tab"/>
      <w:lvlText w:val=""/>
      <w:lvlJc w:val="left"/>
      <w:pPr>
        <w:ind w:hanging="360" w:left="1800"/>
        <w:tabs>
          <w:tab w:val="left" w:pos="1800" w:leader="none"/>
        </w:tabs>
      </w:pPr>
      <w:rPr>
        <w:rFonts w:ascii="Wingdings" w:hAnsi="Wingdings"/>
      </w:rPr>
    </w:lvl>
    <w:lvl w:ilvl="3" w:tplc="1FFCB66B">
      <w:start w:val="1"/>
      <w:numFmt w:val="bullet"/>
      <w:suff w:val="tab"/>
      <w:lvlText w:val=""/>
      <w:lvlJc w:val="left"/>
      <w:pPr>
        <w:ind w:hanging="360" w:left="2520"/>
        <w:tabs>
          <w:tab w:val="left" w:pos="2520" w:leader="none"/>
        </w:tabs>
      </w:pPr>
      <w:rPr>
        <w:rFonts w:ascii="Symbol" w:hAnsi="Symbol"/>
      </w:rPr>
    </w:lvl>
    <w:lvl w:ilvl="4" w:tplc="7E7D2855">
      <w:start w:val="1"/>
      <w:numFmt w:val="bullet"/>
      <w:suff w:val="tab"/>
      <w:lvlText w:val="o"/>
      <w:lvlJc w:val="left"/>
      <w:pPr>
        <w:ind w:hanging="360" w:left="3240"/>
        <w:tabs>
          <w:tab w:val="left" w:pos="3240" w:leader="none"/>
        </w:tabs>
      </w:pPr>
      <w:rPr>
        <w:rFonts w:ascii="Courier New" w:hAnsi="Courier New"/>
      </w:rPr>
    </w:lvl>
    <w:lvl w:ilvl="5" w:tplc="3F0935DF">
      <w:start w:val="1"/>
      <w:numFmt w:val="bullet"/>
      <w:suff w:val="tab"/>
      <w:lvlText w:val=""/>
      <w:lvlJc w:val="left"/>
      <w:pPr>
        <w:ind w:hanging="360" w:left="3960"/>
        <w:tabs>
          <w:tab w:val="left" w:pos="3960" w:leader="none"/>
        </w:tabs>
      </w:pPr>
      <w:rPr>
        <w:rFonts w:ascii="Wingdings" w:hAnsi="Wingdings"/>
      </w:rPr>
    </w:lvl>
    <w:lvl w:ilvl="6" w:tplc="46FFFEC6">
      <w:start w:val="1"/>
      <w:numFmt w:val="bullet"/>
      <w:suff w:val="tab"/>
      <w:lvlText w:val=""/>
      <w:lvlJc w:val="left"/>
      <w:pPr>
        <w:ind w:hanging="360" w:left="4680"/>
        <w:tabs>
          <w:tab w:val="left" w:pos="4680" w:leader="none"/>
        </w:tabs>
      </w:pPr>
      <w:rPr>
        <w:rFonts w:ascii="Symbol" w:hAnsi="Symbol"/>
      </w:rPr>
    </w:lvl>
    <w:lvl w:ilvl="7" w:tplc="0B82C185">
      <w:start w:val="1"/>
      <w:numFmt w:val="bullet"/>
      <w:suff w:val="tab"/>
      <w:lvlText w:val="o"/>
      <w:lvlJc w:val="left"/>
      <w:pPr>
        <w:ind w:hanging="360" w:left="5400"/>
        <w:tabs>
          <w:tab w:val="left" w:pos="5400" w:leader="none"/>
        </w:tabs>
      </w:pPr>
      <w:rPr>
        <w:rFonts w:ascii="Courier New" w:hAnsi="Courier New"/>
      </w:rPr>
    </w:lvl>
    <w:lvl w:ilvl="8" w:tplc="797413CF">
      <w:start w:val="1"/>
      <w:numFmt w:val="bullet"/>
      <w:suff w:val="tab"/>
      <w:lvlText w:val=""/>
      <w:lvlJc w:val="left"/>
      <w:pPr>
        <w:ind w:hanging="360" w:left="6120"/>
        <w:tabs>
          <w:tab w:val="left" w:pos="6120" w:leader="none"/>
        </w:tabs>
      </w:pPr>
      <w:rPr>
        <w:rFonts w:ascii="Wingdings" w:hAnsi="Wingdings"/>
      </w:rPr>
    </w:lvl>
  </w:abstractNum>
  <w:abstractNum w:abstractNumId="3">
    <w:nsid w:val="26BE0F42"/>
    <w:multiLevelType w:val="hybridMultilevel"/>
    <w:lvl w:ilvl="0" w:tplc="4741316D">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A8B7886"/>
    <w:multiLevelType w:val="multilevel"/>
    <w:lvl w:ilvl="0">
      <w:start w:val="1"/>
      <w:numFmt w:val="upp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17526D"/>
    <w:multiLevelType w:val="hybridMultilevel"/>
    <w:lvl w:ilvl="0" w:tplc="7347A222">
      <w:start w:val="0"/>
      <w:numFmt w:val="bullet"/>
      <w:suff w:val="tab"/>
      <w:lvlText w:val="-"/>
      <w:lvlJc w:val="left"/>
      <w:pPr>
        <w:ind w:hanging="360" w:left="1890"/>
        <w:tabs>
          <w:tab w:val="left" w:pos="1890" w:leader="none"/>
        </w:tabs>
      </w:pPr>
      <w:rPr>
        <w:rFonts w:ascii="Times New Roman" w:hAnsi="Times New Roman"/>
      </w:rPr>
    </w:lvl>
    <w:lvl w:ilvl="1" w:tplc="0DB4A973">
      <w:start w:val="1"/>
      <w:numFmt w:val="bullet"/>
      <w:suff w:val="tab"/>
      <w:lvlText w:val="o"/>
      <w:lvlJc w:val="left"/>
      <w:pPr>
        <w:ind w:hanging="360" w:left="2610"/>
        <w:tabs>
          <w:tab w:val="left" w:pos="2610" w:leader="none"/>
        </w:tabs>
      </w:pPr>
      <w:rPr>
        <w:rFonts w:ascii="Courier New" w:hAnsi="Courier New"/>
      </w:rPr>
    </w:lvl>
    <w:lvl w:ilvl="2" w:tplc="75FE9155">
      <w:start w:val="1"/>
      <w:numFmt w:val="bullet"/>
      <w:suff w:val="tab"/>
      <w:lvlText w:val=""/>
      <w:lvlJc w:val="left"/>
      <w:pPr>
        <w:ind w:hanging="360" w:left="3330"/>
        <w:tabs>
          <w:tab w:val="left" w:pos="3330" w:leader="none"/>
        </w:tabs>
      </w:pPr>
      <w:rPr>
        <w:rFonts w:ascii="Wingdings" w:hAnsi="Wingdings"/>
      </w:rPr>
    </w:lvl>
    <w:lvl w:ilvl="3" w:tplc="0E841E02">
      <w:start w:val="1"/>
      <w:numFmt w:val="bullet"/>
      <w:suff w:val="tab"/>
      <w:lvlText w:val=""/>
      <w:lvlJc w:val="left"/>
      <w:pPr>
        <w:ind w:hanging="360" w:left="4050"/>
        <w:tabs>
          <w:tab w:val="left" w:pos="4050" w:leader="none"/>
        </w:tabs>
      </w:pPr>
      <w:rPr>
        <w:rFonts w:ascii="Symbol" w:hAnsi="Symbol"/>
      </w:rPr>
    </w:lvl>
    <w:lvl w:ilvl="4" w:tplc="4E28F046">
      <w:start w:val="1"/>
      <w:numFmt w:val="bullet"/>
      <w:suff w:val="tab"/>
      <w:lvlText w:val="o"/>
      <w:lvlJc w:val="left"/>
      <w:pPr>
        <w:ind w:hanging="360" w:left="4770"/>
        <w:tabs>
          <w:tab w:val="left" w:pos="4770" w:leader="none"/>
        </w:tabs>
      </w:pPr>
      <w:rPr>
        <w:rFonts w:ascii="Courier New" w:hAnsi="Courier New"/>
      </w:rPr>
    </w:lvl>
    <w:lvl w:ilvl="5" w:tplc="2CF10486">
      <w:start w:val="1"/>
      <w:numFmt w:val="bullet"/>
      <w:suff w:val="tab"/>
      <w:lvlText w:val=""/>
      <w:lvlJc w:val="left"/>
      <w:pPr>
        <w:ind w:hanging="360" w:left="5490"/>
        <w:tabs>
          <w:tab w:val="left" w:pos="5490" w:leader="none"/>
        </w:tabs>
      </w:pPr>
      <w:rPr>
        <w:rFonts w:ascii="Wingdings" w:hAnsi="Wingdings"/>
      </w:rPr>
    </w:lvl>
    <w:lvl w:ilvl="6" w:tplc="0C8B457F">
      <w:start w:val="1"/>
      <w:numFmt w:val="bullet"/>
      <w:suff w:val="tab"/>
      <w:lvlText w:val=""/>
      <w:lvlJc w:val="left"/>
      <w:pPr>
        <w:ind w:hanging="360" w:left="6210"/>
        <w:tabs>
          <w:tab w:val="left" w:pos="6210" w:leader="none"/>
        </w:tabs>
      </w:pPr>
      <w:rPr>
        <w:rFonts w:ascii="Symbol" w:hAnsi="Symbol"/>
      </w:rPr>
    </w:lvl>
    <w:lvl w:ilvl="7" w:tplc="2B13A31C">
      <w:start w:val="1"/>
      <w:numFmt w:val="bullet"/>
      <w:suff w:val="tab"/>
      <w:lvlText w:val="o"/>
      <w:lvlJc w:val="left"/>
      <w:pPr>
        <w:ind w:hanging="360" w:left="6930"/>
        <w:tabs>
          <w:tab w:val="left" w:pos="6930" w:leader="none"/>
        </w:tabs>
      </w:pPr>
      <w:rPr>
        <w:rFonts w:ascii="Courier New" w:hAnsi="Courier New"/>
      </w:rPr>
    </w:lvl>
    <w:lvl w:ilvl="8" w:tplc="70513930">
      <w:start w:val="1"/>
      <w:numFmt w:val="bullet"/>
      <w:suff w:val="tab"/>
      <w:lvlText w:val=""/>
      <w:lvlJc w:val="left"/>
      <w:pPr>
        <w:ind w:hanging="360" w:left="7650"/>
        <w:tabs>
          <w:tab w:val="left" w:pos="7650" w:leader="none"/>
        </w:tabs>
      </w:pPr>
      <w:rPr>
        <w:rFonts w:ascii="Wingdings" w:hAnsi="Wingdings"/>
      </w:rPr>
    </w:lvl>
  </w:abstractNum>
  <w:abstractNum w:abstractNumId="6">
    <w:nsid w:val="4C824D4B"/>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4ECE00B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5BD95628"/>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765438A5"/>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798D7BCE"/>
    <w:multiLevelType w:val="hybridMultilevel"/>
    <w:lvl w:ilvl="0" w:tplc="4F2659F2">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6"/>
  </w:num>
  <w:num w:numId="2">
    <w:abstractNumId w:val="10"/>
  </w:num>
  <w:num w:numId="3">
    <w:abstractNumId w:val="8"/>
  </w:num>
  <w:num w:numId="4">
    <w:abstractNumId w:val="3"/>
  </w:num>
  <w:num w:numId="5">
    <w:abstractNumId w:val="0"/>
  </w:num>
  <w:num w:numId="6">
    <w:abstractNumId w:val="1"/>
  </w:num>
  <w:num w:numId="7">
    <w:abstractNumId w:val="2"/>
  </w:num>
  <w:num w:numId="8">
    <w:abstractNumId w:val="9"/>
  </w:num>
  <w:num w:numId="9">
    <w:abstractNumId w:val="4"/>
  </w:num>
  <w:num w:numId="10">
    <w:abstractNumId w:val="5"/>
  </w:num>
  <w:num w:numId="11">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outlineLvl w:val="0"/>
    </w:pPr>
    <w:rPr>
      <w:b w:val="1"/>
      <w:i w:val="1"/>
      <w:sz w:val="24"/>
    </w:rPr>
  </w:style>
  <w:style w:type="paragraph" w:styleId="P2">
    <w:name w:val="Título 2"/>
    <w:basedOn w:val="P0"/>
    <w:next w:val="P0"/>
    <w:pPr>
      <w:keepNext w:val="1"/>
      <w:ind w:left="4956"/>
      <w:jc w:val="both"/>
      <w:outlineLvl w:val="1"/>
    </w:pPr>
    <w:rPr>
      <w:b w:val="1"/>
      <w:i w:val="1"/>
      <w:sz w:val="24"/>
    </w:rPr>
  </w:style>
  <w:style w:type="paragraph" w:styleId="P3">
    <w:name w:val="Título 3"/>
    <w:basedOn w:val="P0"/>
    <w:next w:val="P0"/>
    <w:pPr>
      <w:keepNext w:val="1"/>
      <w:jc w:val="center"/>
      <w:outlineLvl w:val="2"/>
    </w:pPr>
    <w:rPr>
      <w:i w:val="1"/>
      <w:sz w:val="24"/>
      <w:u w:val="single"/>
    </w:rPr>
  </w:style>
  <w:style w:type="paragraph" w:styleId="P4">
    <w:name w:val="Título 4"/>
    <w:basedOn w:val="P0"/>
    <w:next w:val="P0"/>
    <w:pPr>
      <w:keepNext w:val="1"/>
      <w:ind w:left="709"/>
      <w:jc w:val="center"/>
      <w:outlineLvl w:val="3"/>
    </w:pPr>
    <w:rPr>
      <w:rFonts w:ascii="Courier New" w:hAnsi="Courier New"/>
      <w:sz w:val="24"/>
    </w:rPr>
  </w:style>
  <w:style w:type="paragraph" w:styleId="P5">
    <w:name w:val="Título 5"/>
    <w:basedOn w:val="P0"/>
    <w:next w:val="P0"/>
    <w:pPr>
      <w:keepNext w:val="1"/>
      <w:outlineLvl w:val="4"/>
    </w:pPr>
    <w:rPr/>
  </w:style>
  <w:style w:type="paragraph" w:styleId="P6">
    <w:name w:val="Título 6"/>
    <w:basedOn w:val="P0"/>
    <w:next w:val="P0"/>
    <w:pPr>
      <w:keepNext w:val="1"/>
      <w:tabs>
        <w:tab w:val="left" w:pos="709" w:leader="none"/>
      </w:tabs>
      <w:ind w:left="709"/>
      <w:jc w:val="center"/>
      <w:outlineLvl w:val="5"/>
    </w:pPr>
    <w:rPr>
      <w:rFonts w:ascii="Courier New" w:hAnsi="Courier New"/>
      <w:b w:val="1"/>
      <w:sz w:val="24"/>
    </w:rPr>
  </w:style>
  <w:style w:type="paragraph" w:styleId="P7">
    <w:name w:val="Título 7"/>
    <w:basedOn w:val="P0"/>
    <w:next w:val="P0"/>
    <w:pPr>
      <w:keepNext w:val="1"/>
      <w:ind w:firstLine="709"/>
      <w:jc w:val="both"/>
      <w:outlineLvl w:val="6"/>
    </w:pPr>
    <w:rPr>
      <w:rFonts w:ascii="Courier New" w:hAnsi="Courier New"/>
      <w:sz w:val="24"/>
    </w:rPr>
  </w:style>
  <w:style w:type="paragraph" w:styleId="P8">
    <w:name w:val="Encabezado"/>
    <w:basedOn w:val="P0"/>
    <w:next w:val="P8"/>
    <w:pPr>
      <w:tabs>
        <w:tab w:val="center" w:pos="4252" w:leader="none"/>
        <w:tab w:val="right" w:pos="8504" w:leader="none"/>
      </w:tabs>
    </w:pPr>
    <w:rPr>
      <w:sz w:val="24"/>
    </w:rPr>
  </w:style>
  <w:style w:type="paragraph" w:styleId="P9">
    <w:name w:val="Texto independiente"/>
    <w:basedOn w:val="P0"/>
    <w:next w:val="P9"/>
    <w:pPr>
      <w:jc w:val="both"/>
    </w:pPr>
    <w:rPr>
      <w:b w:val="1"/>
    </w:rPr>
  </w:style>
  <w:style w:type="paragraph" w:styleId="P10">
    <w:name w:val="Texto independiente 2"/>
    <w:basedOn w:val="P0"/>
    <w:next w:val="P10"/>
    <w:pPr>
      <w:jc w:val="both"/>
    </w:pPr>
    <w:rPr>
      <w:i w:val="1"/>
      <w:sz w:val="24"/>
    </w:rPr>
  </w:style>
  <w:style w:type="paragraph" w:styleId="P11">
    <w:name w:val="Texto independiente 3"/>
    <w:basedOn w:val="P0"/>
    <w:next w:val="P11"/>
    <w:pPr>
      <w:jc w:val="both"/>
    </w:pPr>
    <w:rPr>
      <w:rFonts w:ascii="Arial" w:hAnsi="Arial"/>
      <w:b w:val="1"/>
      <w:sz w:val="24"/>
    </w:rPr>
  </w:style>
  <w:style w:type="paragraph" w:styleId="P12">
    <w:name w:val="Sangría de t. independiente"/>
    <w:basedOn w:val="P0"/>
    <w:next w:val="P12"/>
    <w:pPr>
      <w:tabs>
        <w:tab w:val="left" w:pos="0" w:leader="none"/>
      </w:tabs>
      <w:ind w:firstLine="142"/>
      <w:jc w:val="both"/>
    </w:pPr>
    <w:rPr>
      <w:rFonts w:ascii="Arial" w:hAnsi="Arial"/>
      <w:b w:val="1"/>
      <w:sz w:val="24"/>
    </w:rPr>
  </w:style>
  <w:style w:type="paragraph" w:styleId="P13">
    <w:name w:val="Sangría 2 de t. independiente"/>
    <w:basedOn w:val="P0"/>
    <w:next w:val="P13"/>
    <w:pPr>
      <w:tabs>
        <w:tab w:val="left" w:pos="993" w:leader="none"/>
      </w:tabs>
      <w:ind w:hanging="993" w:left="993"/>
      <w:jc w:val="both"/>
    </w:pPr>
    <w:rPr>
      <w:rFonts w:ascii="Arial" w:hAnsi="Arial"/>
      <w:sz w:val="24"/>
    </w:rPr>
  </w:style>
  <w:style w:type="paragraph" w:styleId="P14">
    <w:name w:val="Sangría 3 de t. independiente"/>
    <w:basedOn w:val="P0"/>
    <w:next w:val="P14"/>
    <w:pPr>
      <w:ind w:left="360"/>
    </w:pPr>
    <w:rPr>
      <w:rFonts w:ascii="Arial" w:hAnsi="Arial"/>
      <w:sz w:val="24"/>
    </w:rPr>
  </w:style>
  <w:style w:type="paragraph" w:styleId="P15">
    <w:name w:val="Título"/>
    <w:basedOn w:val="P0"/>
    <w:next w:val="P15"/>
    <w:pPr>
      <w:jc w:val="center"/>
    </w:pPr>
    <w:rPr>
      <w:rFonts w:ascii="Courier New" w:hAnsi="Courier New"/>
      <w:b w:val="1"/>
      <w:sz w:val="24"/>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Procuración</dc:creator>
  <dcterms:created xsi:type="dcterms:W3CDTF">2003-07-16T13:43:00Z</dcterms:created>
  <cp:lastModifiedBy>Ethan Puglia</cp:lastModifiedBy>
  <cp:lastPrinted>2002-12-04T12:26:00Z</cp:lastPrinted>
  <dcterms:modified xsi:type="dcterms:W3CDTF">2019-03-28T17:33:53Z</dcterms:modified>
  <cp:revision>23</cp:revision>
  <dc:title>tyyutyip</dc:title>
</cp:coreProperties>
</file>