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A8093C" Type="http://schemas.openxmlformats.org/officeDocument/2006/relationships/officeDocument" Target="/word/document.xml" /><Relationship Id="coreR50A809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Jorge Daniel Ramos solicitando exención de deuda de Tasa por Servicios de Inspección General e Higiene por el Comercio Legajo Nº 6821;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Acta de Constatación realizada por Dirección de Policía Municipal Nº 2909 de fecha 6 de mayo de 2003 donde consta que este contribuyente no desarrolla actividad económica desde el 30 de noviembre de 2002;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comprobado fehacientemente que este comercio fue decayendo hasta quedarse sin recursos para seguir trabajando como resultado de una situación general;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17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como deuda contraida por el Contribuyente Nº 41944, incluido plan de pagos Nº 874004, devengada al 30 de noviembre de 2002, en concepto de Tasa por Servicios de Inspección General e Higiene por el Comercio Legajo Nº 6821, un saldo neto de PESOS DOS MIL VEINTIUNO CON VEINTICUATRO CENTAVOS ($ 2021,24.-) que deberá  abonar  de  la  siguiente manera: un anticipo de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sz w:val="24"/>
        </w:rPr>
        <w:t xml:space="preserve">PESOS SESENTA Y UNO CON VEINTICUATRO </w:t>
      </w:r>
      <w:r>
        <w:rPr>
          <w:rStyle w:val="C3"/>
          <w:rFonts w:ascii="Courier New" w:hAnsi="Courier New"/>
        </w:rPr>
        <w:t xml:space="preserve">CENTAVOS </w:t>
      </w:r>
      <w:r>
        <w:rPr>
          <w:rStyle w:val="C3"/>
          <w:rFonts w:ascii="Courier New" w:hAnsi="Courier New"/>
          <w:sz w:val="24"/>
        </w:rPr>
        <w:t>($ 61,24) y treinta y</w:t>
      </w:r>
      <w:r>
        <w:rPr>
          <w:rStyle w:val="C3"/>
          <w:rFonts w:ascii="Courier New" w:hAnsi="Courier New"/>
        </w:rPr>
        <w:t xml:space="preserve"> cinco (35) cuotas mensuales sin interés de PESOS CINCUENTA Y SEIS ($ 56.-) cada una, venciendo la primera cuota el 20 de septiembre de 2003.  </w:t>
      </w:r>
    </w:p>
    <w:p>
      <w:pPr>
        <w:pStyle w:val="P6"/>
        <w:ind w:hanging="709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G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baja correspondiente al referido Legajo con retroactividad al 30 de noviembre de 2002, en que se produjo el cese del comercio.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2003-07-18T15:26:00Z</dcterms:created>
  <cp:lastModifiedBy>Ethan Puglia</cp:lastModifiedBy>
  <cp:lastPrinted>2003-07-18T15:21:00Z</cp:lastPrinted>
  <dcterms:modified xsi:type="dcterms:W3CDTF">2019-03-28T17:33:54Z</dcterms:modified>
  <cp:revision>10</cp:revision>
  <dc:title>ORDENANZA  Nº  5354</dc:title>
</cp:coreProperties>
</file>