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CFD15DD" Type="http://schemas.openxmlformats.org/officeDocument/2006/relationships/officeDocument" Target="/word/document.xml" /><Relationship Id="coreR2CFD15D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6337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 Sra. Gladys del Valle Merlo solicitando exención de Tasas por Servicios a la Propiedad;  y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este grupo familiar tiene limitaciones económicas que le impiden cubrir sus necesidades básicas;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por Comisión de Hacienda, la misma emite despacho accediendo a otorgar los beneficios de la Ordenanza Nº5485, despacho  aprobado por unanimidad en Sesión de fecha 17 de julio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FIJAR</w:t>
      </w:r>
      <w:r>
        <w:rPr>
          <w:rStyle w:val="C3"/>
          <w:sz w:val="24"/>
        </w:rPr>
        <w:t xml:space="preserve"> como cuota mensual a abonar en concepto de Tasa por Servicios a la Propiedad desde la promulgación de la presente Ordenanza y hasta el 31 de diciembre de 2004 inclusive, la suma de PESOS TRES ($3.-), al inmueble designación catastral 03-01-115-005-000, conforme a lo establecido en la Ordenanza Nº 5485 siempre que se mantengan las condiciones que  fundamentan la presente.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cuota abonada en término se le eximirá de tres (3) cuotas de la deuda en forma correlativa. 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</w:t>
      </w:r>
      <w:r>
        <w:rPr>
          <w:rStyle w:val="C3"/>
          <w:rFonts w:ascii="Courier New" w:hAnsi="Courier New"/>
          <w:sz w:val="24"/>
        </w:rPr>
        <w:t xml:space="preserve"> caso de transferencia del inmueble designación catastral Nº 03-01-115-005-000 el beneficio otorgado en la presente Ordenanza quedará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SOLICITAR</w:t>
      </w:r>
      <w:r>
        <w:rPr>
          <w:rStyle w:val="C3"/>
          <w:rFonts w:ascii="Courier New" w:hAnsi="Courier New"/>
          <w:sz w:val="24"/>
        </w:rPr>
        <w:t xml:space="preserve"> al Departamento Ejecutivo deje sin efecto el reclamo extrajudicial realizado para lograr el cobro de la deuda y conminar a la solicitante a regularizar en los registros municipales el estado en que se encuentra el bien, el cual está edificado. 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Art.5: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DIECISIETE DIAS DEL MES DE JULIO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2003-07-30T22:20:00Z</dcterms:created>
  <cp:lastModifiedBy>Ethan Puglia</cp:lastModifiedBy>
  <cp:lastPrinted>2003-07-11T19:08:00Z</cp:lastPrinted>
  <dcterms:modified xsi:type="dcterms:W3CDTF">2019-03-28T17:33:54Z</dcterms:modified>
  <cp:revision>12</cp:revision>
  <dc:title>ORDENANZA  Nº  5354</dc:title>
</cp:coreProperties>
</file>