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3B4CDC" Type="http://schemas.openxmlformats.org/officeDocument/2006/relationships/officeDocument" Target="/word/document.xml" /><Relationship Id="coreR173B4CD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6338</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necesidad de establecer un estricto control en las compras que se realizan a través de Fondos Fijos; y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Ordenanza Nº 2780 establece en su Art. 6, el mecanismo para la utilización de los Fondos Fijos;</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r>
        <w:rPr>
          <w:rStyle w:val="C3"/>
          <w:rFonts w:ascii="Courier New" w:hAnsi="Courier New"/>
        </w:rPr>
        <w:t>Que, atento a la necesidad de contar con mejores mecanismos de control para las compras que se realizan mediante este sistema, el Concejo en Comisión emite despacho aconsejando la modificación del Art. 6 de la Ordenanza Nº 2780, despacho aprobado por unanimidad en Sesión de fecha 17 de julio de 2003.</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MODIFI</w:t>
      </w:r>
      <w:r>
        <w:rPr>
          <w:rStyle w:val="C3"/>
          <w:rFonts w:ascii="Courier New" w:hAnsi="Courier New"/>
          <w:b w:val="1"/>
          <w:sz w:val="24"/>
        </w:rPr>
        <w:t>CA</w:t>
      </w:r>
      <w:r>
        <w:rPr>
          <w:rStyle w:val="C3"/>
          <w:rFonts w:ascii="Courier New" w:hAnsi="Courier New"/>
          <w:b w:val="1"/>
          <w:sz w:val="24"/>
        </w:rPr>
        <w:t>N</w:t>
      </w:r>
      <w:r>
        <w:rPr>
          <w:rStyle w:val="C3"/>
          <w:rFonts w:ascii="Courier New" w:hAnsi="Courier New"/>
          <w:b w:val="1"/>
          <w:sz w:val="24"/>
        </w:rPr>
        <w:t>SE</w:t>
      </w:r>
      <w:r>
        <w:rPr>
          <w:rStyle w:val="C3"/>
          <w:rFonts w:ascii="Courier New" w:hAnsi="Courier New"/>
          <w:b w:val="1"/>
          <w:sz w:val="24"/>
        </w:rPr>
        <w:t xml:space="preserve"> </w:t>
      </w:r>
      <w:r>
        <w:rPr>
          <w:rStyle w:val="C3"/>
          <w:rFonts w:ascii="Courier New" w:hAnsi="Courier New"/>
          <w:sz w:val="24"/>
        </w:rPr>
        <w:t xml:space="preserve">los puntos 1 y 3 del Art. 6 de la Ordenanza Nº 2780, los que quedarán redactados de la siguiente manera: </w:t>
      </w:r>
    </w:p>
    <w:p>
      <w:pPr>
        <w:pStyle w:val="P6"/>
        <w:rPr>
          <w:rStyle w:val="C3"/>
          <w:rFonts w:ascii="Courier New" w:hAnsi="Courier New"/>
        </w:rPr>
      </w:pPr>
      <w:r>
        <w:rPr>
          <w:rStyle w:val="C3"/>
          <w:rFonts w:ascii="Courier New" w:hAnsi="Courier New"/>
        </w:rPr>
        <w:t>“1- Solicitud previa mediante Memorándum firmado por el máximo responsable del área a saber: Secretario o Director según corresponda, o en su defecto deberá ser firmado por el Secretario de Economía y Finanzas”.</w:t>
      </w:r>
    </w:p>
    <w:p>
      <w:pPr>
        <w:ind w:left="709"/>
        <w:jc w:val="both"/>
        <w:rPr>
          <w:rStyle w:val="C3"/>
          <w:rFonts w:ascii="Courier New" w:hAnsi="Courier New"/>
          <w:sz w:val="24"/>
        </w:rPr>
      </w:pPr>
      <w:r>
        <w:rPr>
          <w:rStyle w:val="C3"/>
          <w:rFonts w:ascii="Courier New" w:hAnsi="Courier New"/>
          <w:sz w:val="24"/>
        </w:rPr>
        <w:t>“3- Cada titular de Fondo Fijo deberá llevar un Libro Auxiliar donde se registrarán los comprobantes de los importes que egresen de dicho Fondo, debidamente firmados por los responsables que solicitaron la compra de acuerdo al procedimiento establecido en el punto 1-“.</w:t>
      </w:r>
    </w:p>
    <w:p>
      <w:pPr>
        <w:ind w:hanging="709" w:left="709"/>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DIECISIETE DIAS DEL MES DE JULIO DEL AÑO DOS MIL TRES.</w:t>
      </w:r>
    </w:p>
    <w:p>
      <w:pPr>
        <w:pStyle w:val="P7"/>
        <w:rPr>
          <w:rStyle w:val="C3"/>
          <w:rFonts w:ascii="Courier New" w:hAnsi="Courier New"/>
        </w:rPr>
      </w:pP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2003-07-18T13:58:00Z</dcterms:created>
  <cp:lastModifiedBy>Ethan Puglia</cp:lastModifiedBy>
  <cp:lastPrinted>2003-07-18T14:22:00Z</cp:lastPrinted>
  <dcterms:modified xsi:type="dcterms:W3CDTF">2019-03-28T17:33:54Z</dcterms:modified>
  <cp:revision>13</cp:revision>
  <dc:title>ORDENANZA  Nº  5354</dc:title>
</cp:coreProperties>
</file>