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4297832" Type="http://schemas.openxmlformats.org/officeDocument/2006/relationships/officeDocument" Target="/word/document.xml" /><Relationship Id="coreR3429783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6348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719/03 iniciado por  la  Sra. Zelina Julia Iozzelli  solicitando exención de deuda de Tasa por Servicios de Inspección General e Higiene; y </w:t>
      </w:r>
    </w:p>
    <w:p>
      <w:pPr>
        <w:pStyle w:val="P5"/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anexa Declaración Jurada realizada ante autoridad policial refrendada por 2 testigos donde manifiesta que procedió al cierre del negocio el 30 de enero de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la recesión en las ventas provocó la caída del comercio debiendo esta contribuyente cerrar el negocio para evitar seguir endeudándose;                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se trata de una persona de avanzada edad que convive con su madre con problemas de salud;  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24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sz w:val="24"/>
        </w:rPr>
        <w:t xml:space="preserve"> el pago de la deuda que mantiene con el  Municipio la Contribuyente Nº 7883 en concepto de Tasa por Servicios de Inspección General e Higiene por el comercio Legajo Nº 3154, al 31 de enero de 2001, dejando sin efecto las cuotas posteriores, otorgando la baja del comercio a partir del 31 de enero de 2001.     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SOLICITAR</w:t>
      </w:r>
      <w:r>
        <w:rPr>
          <w:rStyle w:val="C3"/>
          <w:sz w:val="24"/>
        </w:rPr>
        <w:t xml:space="preserve"> al Departamento Ejecutivo deje sin efecto cualquier gestión realizada a fin de perseguir el cobro de la deuda.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ART.3:</w:t>
      </w:r>
      <w:r>
        <w:rPr>
          <w:rStyle w:val="C3"/>
          <w:rFonts w:ascii="Courier New" w:hAnsi="Courier New"/>
        </w:rPr>
        <w:t xml:space="preserve"> COMUNÍQUESE, </w:t>
      </w:r>
      <w:r>
        <w:rPr>
          <w:rStyle w:val="C3"/>
          <w:rFonts w:ascii="Courier New" w:hAnsi="Courier New"/>
          <w:b w:val="0"/>
        </w:rPr>
        <w:t>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2003-07-30T23:03:00Z</dcterms:created>
  <cp:lastModifiedBy>Ethan Puglia</cp:lastModifiedBy>
  <cp:lastPrinted>2003-07-31T07:41:00Z</cp:lastPrinted>
  <dcterms:modified xsi:type="dcterms:W3CDTF">2019-03-28T17:33:54Z</dcterms:modified>
  <cp:revision>15</cp:revision>
  <dc:title>ORDENANZA  Nº  5354</dc:title>
</cp:coreProperties>
</file>