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EAD3CE9" Type="http://schemas.openxmlformats.org/officeDocument/2006/relationships/officeDocument" Target="/word/document.xml" /><Relationship Id="coreR5EAD3CE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6398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1137/03 iniciado por el  Sr. Raúl Alberto Powell solicitando exención de Tasa por Servicios de Inspección General e Higiene y multa; y </w:t>
      </w:r>
    </w:p>
    <w:p>
      <w:pPr>
        <w:pStyle w:val="P1"/>
        <w:rPr>
          <w:rStyle w:val="C3"/>
          <w:rFonts w:ascii="Courier New" w:hAnsi="Courier New"/>
        </w:rPr>
      </w:pPr>
    </w:p>
    <w:p>
      <w:pPr>
        <w:rPr>
          <w:rStyle w:val="C3"/>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obran en el expediente constancias del Tribunal Administrativo de Faltas de la infracción al Art. 24, inc.3 de la Ordenanza Nº 3873, por no presentar Declaración Jurada en término correspondiente a los períodos 1-2-3-4/03;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solicitante manifiesta voluntad de pago;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facilitar el pago de la multa y eximiendo la deuda a fin de dar de baja al comercio, despacho aprobado por unanimidad en Sesión de fecha 14 de agosto de 2003.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AUTORIZAR </w:t>
      </w:r>
      <w:r>
        <w:rPr>
          <w:rStyle w:val="C3"/>
          <w:sz w:val="24"/>
        </w:rPr>
        <w:t>al Departamento Ejecutivo a otorgar al Contribuyente Nº 12830 un plan de pagos sin intereses y en el plazo máximo establecido por Ordenanza para abonar la multa impuesta mediante Resolución Nº 567/03 del Tribunal Administrativo de Faltas.</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XIMIR</w:t>
      </w:r>
      <w:r>
        <w:rPr>
          <w:rStyle w:val="C3"/>
          <w:sz w:val="24"/>
        </w:rPr>
        <w:t xml:space="preserve"> en un cien por ciento (100%) al mismo Contribuyente del pago de las cuotas pendientes que en concepto de Tasa por Servicios de Inspección General e Higiene mantiene con el Municipio por el Comercio Legajo Nº 08039, otorgando la baja del referido comercio por cese de actividad comercial.</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b w:val="1"/>
          <w:sz w:val="24"/>
        </w:rPr>
        <w:t>COMUNÍQUESE,</w:t>
      </w:r>
      <w:r>
        <w:rPr>
          <w:rStyle w:val="C3"/>
          <w:rFonts w:ascii="Courier New" w:hAnsi="Courier New"/>
          <w:sz w:val="24"/>
        </w:rPr>
        <w:t xml:space="preserve">  publíquese,  transcríbase al Libro de </w:t>
      </w:r>
    </w:p>
    <w:p>
      <w:pPr>
        <w:ind w:hanging="709" w:left="709"/>
        <w:jc w:val="both"/>
        <w:rPr>
          <w:rStyle w:val="C3"/>
          <w:rFonts w:ascii="Courier New" w:hAnsi="Courier New"/>
          <w:sz w:val="24"/>
        </w:rPr>
      </w:pPr>
      <w:r>
        <w:rPr>
          <w:rStyle w:val="C3"/>
          <w:rFonts w:ascii="Courier New" w:hAnsi="Courier New"/>
          <w:sz w:val="24"/>
        </w:rPr>
        <w:t xml:space="preserv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CATORCE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2003-08-09T17:51:00Z</dcterms:created>
  <cp:lastModifiedBy>Ethan Puglia</cp:lastModifiedBy>
  <cp:lastPrinted>2003-08-03T19:38:00Z</cp:lastPrinted>
  <dcterms:modified xsi:type="dcterms:W3CDTF">2019-03-28T17:33:55Z</dcterms:modified>
  <cp:revision>12</cp:revision>
  <dc:title>ORDENANZA  Nº  5354</dc:title>
</cp:coreProperties>
</file>