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FFFA3E4" Type="http://schemas.openxmlformats.org/officeDocument/2006/relationships/officeDocument" Target="/word/document.xml" /><Relationship Id="coreR1FFFA3E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6409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172/I/02 iniciado por la  Sra. Mafalda Contreras de Bustos  solicitando exención de deuda de Tasa por Servicios de Administración y Mantenimiento de los Cementerios;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5690 se otorgó un plan de pagos por la deuda;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posteriormente y en reiteradas oportunidades Comisión de Hacienda se reunió con la solicitante quien manifiesta no poder afrontar el del cien por ciento (100%) de la deuda;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 Hacienda, la misma emite despacho accediendo a otorgar una exención parcial y facilitando el pago del saldo,  despacho aprobado por unanimidad en Sesión de fecha 14 de agosto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EXIMIR</w:t>
      </w:r>
      <w:r>
        <w:rPr>
          <w:rStyle w:val="C3"/>
          <w:sz w:val="24"/>
        </w:rPr>
        <w:t xml:space="preserve"> en un treinta y cinco por ciento (35%) las deudas que a la fecha mantiene con el Municipio la solicitante en concepto de Tasa por Servicios de  Administración y Mantenimiento de los Cementerios por las Identificaciones Nº 715 y Nº 7485, autorizando al Departamento Ejecutivo a otorgar por el setenta y cinco por ciento (75%) restante un plan de pagos acorde a las posibilidades de la contribuyente.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DEROGAR</w:t>
      </w:r>
      <w:r>
        <w:rPr>
          <w:rStyle w:val="C3"/>
          <w:rFonts w:ascii="Courier New" w:hAnsi="Courier New"/>
          <w:sz w:val="24"/>
        </w:rPr>
        <w:t xml:space="preserve">  la Ordenanza Nº 5690.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2003-08-10T13:40:00Z</dcterms:created>
  <cp:lastModifiedBy>Ethan Puglia</cp:lastModifiedBy>
  <cp:lastPrinted>2003-08-03T19:50:00Z</cp:lastPrinted>
  <dcterms:modified xsi:type="dcterms:W3CDTF">2019-03-28T17:33:55Z</dcterms:modified>
  <cp:revision>6</cp:revision>
  <dc:title>ORDENANZA  Nº  5354</dc:title>
</cp:coreProperties>
</file>