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C652BB" Type="http://schemas.openxmlformats.org/officeDocument/2006/relationships/officeDocument" Target="/word/document.xml" /><Relationship Id="coreR58C652B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6411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425/03 iniciado por la  Sra. Stella Maris Pereyra solicitando exención de multa; y</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manifiesta no poder hacer frente al pago de la multa impuesta por el Tribunal Administrativo de Faltas mediante Resolución Nº59/03;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el  Concejo Constituido en Comisión, el mismo emite despacho  facilitando  el pago de la multa, despacho aprobado por unanimidad en Sesión de fecha 14 de agosto de 2003.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AUTORIZAR </w:t>
      </w:r>
      <w:r>
        <w:rPr>
          <w:rStyle w:val="C3"/>
          <w:sz w:val="24"/>
        </w:rPr>
        <w:t xml:space="preserve">al Departamento Ejecutivo a otorgar  un plan de pagos de hasta veinticuatro (24) cuotas  sin intereses a la solicitante para abonar la multa impuesta mediante Resolución Nº 59/03 del Tribunal Administrativo de Faltas.</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CATORCE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2003-08-10T15:25:00Z</dcterms:created>
  <cp:lastModifiedBy>Ethan Puglia</cp:lastModifiedBy>
  <cp:lastPrinted>2003-08-10T12:47:00Z</cp:lastPrinted>
  <dcterms:modified xsi:type="dcterms:W3CDTF">2019-03-28T17:33:55Z</dcterms:modified>
  <cp:revision>6</cp:revision>
  <dc:title>ORDENANZA  Nº  5354</dc:title>
</cp:coreProperties>
</file>