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CA95D71" Type="http://schemas.openxmlformats.org/officeDocument/2006/relationships/officeDocument" Target="/word/document.xml" /><Relationship Id="coreR2CA95D7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6416 </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Las solicitudes efectuadas por los contribuyentes; y</w:t>
      </w: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ante la vigencia del plan DOCOF para cancelación de deuda de Impuestos Provinciales, que permite se regularice la misma a valores históricos;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surgió como inquietud de varios contribuyentes el de cancelar sus deudas mediante este plan de los títulos DOCOF emitidos por el Gobierno Provincial para cancelar sus deudas con Proveedores, no siendo viable esta última alternativa, por la complejidad administrativa que conlleva el manejo de títulos para el contribuyente;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ante las diversas demandas efectuadas, es procedente implementar el mecanismo de cancelación total de deudas a valores históricos.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 </w:t>
      </w: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 xml:space="preserve">AUTORIZAR </w:t>
      </w:r>
      <w:r>
        <w:rPr>
          <w:rStyle w:val="C3"/>
          <w:sz w:val="24"/>
        </w:rPr>
        <w:t>al Departamento Ejecutivo a percibir por parte de aquellos contribuyentes que cancelen la totalidad de los importes adeudados en concepto de los diferentes tributos hasta el 31 de julio de 2003, a valores históricos, sin los recargos resarcitorios previstos por el Art. 30 de la Ordenanza Nº3873.</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Art.2:</w:t>
      </w:r>
      <w:r>
        <w:rPr>
          <w:rStyle w:val="C3"/>
          <w:b w:val="1"/>
          <w:sz w:val="24"/>
        </w:rPr>
        <w:t xml:space="preserve"> EL</w:t>
      </w:r>
      <w:r>
        <w:rPr>
          <w:rStyle w:val="C3"/>
          <w:sz w:val="24"/>
        </w:rPr>
        <w:t xml:space="preserve">  presente beneficio regirá por el término de sesenta (60) días a partir de la promulgación de la presente.</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Art.3:</w:t>
      </w:r>
      <w:r>
        <w:rPr>
          <w:rStyle w:val="C3"/>
          <w:b w:val="1"/>
          <w:sz w:val="24"/>
        </w:rPr>
        <w:t xml:space="preserve"> COMUNÍQUESE,</w:t>
      </w:r>
      <w:r>
        <w:rPr>
          <w:rStyle w:val="C3"/>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r>
        <w:rPr>
          <w:rStyle w:val="C3"/>
          <w:rFonts w:ascii="Courier New" w:hAnsi="Courier New"/>
        </w:rPr>
        <w:t xml:space="preserve">DADA EN LA SALA DE SESIONES DEL HONORABLE CONCEJO DELIBERANTE A VEINTIUN  DIAS DEL MES DE AGOSTO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2003-08-11T02:37:00Z</dcterms:created>
  <cp:lastModifiedBy>Ethan Puglia</cp:lastModifiedBy>
  <cp:lastPrinted>2003-08-11T02:59:00Z</cp:lastPrinted>
  <dcterms:modified xsi:type="dcterms:W3CDTF">2019-03-28T17:33:55Z</dcterms:modified>
  <cp:revision>10</cp:revision>
  <dc:title>ORDENANZA  Nº  5354</dc:title>
</cp:coreProperties>
</file>