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AA64EC7" Type="http://schemas.openxmlformats.org/officeDocument/2006/relationships/officeDocument" Target="/word/document.xml" /><Relationship Id="coreR5AA64EC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904/02 iniciado por el Sr. Enrique Martínez solicitando exención de deuda de Tasa por Servicios a la Propiedad y  unificación de cuentas;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 grupo familiar con problemas económicos,  padeciendo varios de sus miembros problemas de salud y con limitados ingresos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consta informe de Catastro y Obras Privadas exponiendo detalles que dificultan realizar la unificación de lotes solicitada;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Resolución Nº 209/99 y Nº 665/00,  Dirección de Ingresos Públicos eximió al contribuyente en un cien por ciento (100%) de las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eximición y concediendo los beneficios de la Ordenanza Nº 5485, despacho aprobado por unanimidad en Sesión de fecha 21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 en un cien por ciento (100%) la deuda y las cuotas correspondientes al año 2003 de Tasa por Servicios a la Propiedad al inmueble designación catastral Nº 04-01-998-013-000.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desde la promulgación de la presente Ordenanza y hasta el 31 de diciembre de 2004 inclusive, la suma de PESOS TRES ($3.-), al inmueble designación catastral 04-01-998-012-000,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abonada en término conforme a lo establecido en el Art.2, eximir dos (2) cuotas de la deuda anterior por el mismo inmueble.</w:t>
      </w:r>
      <w:r>
        <w:rPr>
          <w:rStyle w:val="C3"/>
          <w:rFonts w:ascii="Courier New" w:hAnsi="Courier New"/>
          <w:b w:val="1"/>
          <w:sz w:val="24"/>
        </w:rPr>
        <w:t xml:space="preserve">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 xml:space="preserve">caso de transferencia de los inmuebles mencionados en la presente Ordenanza, los beneficios otorgados caducarán en forma automática.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INFORMAR</w:t>
      </w:r>
      <w:r>
        <w:rPr>
          <w:rStyle w:val="C3"/>
          <w:rFonts w:ascii="Courier New" w:hAnsi="Courier New"/>
          <w:sz w:val="24"/>
        </w:rPr>
        <w:t xml:space="preserve"> al contribuyente que debe concurrir a Sección Catastro y a Obras Privadas para considerar la factibilidad de unificar las cuentas solicitada.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2003-08-12T04:41:00Z</dcterms:created>
  <cp:lastModifiedBy>Ethan Puglia</cp:lastModifiedBy>
  <cp:lastPrinted>2003-08-12T05:22:00Z</cp:lastPrinted>
  <dcterms:modified xsi:type="dcterms:W3CDTF">2019-03-28T17:33:55Z</dcterms:modified>
  <cp:revision>6</cp:revision>
  <dc:title>ORDENANZA  Nº  5354</dc:title>
</cp:coreProperties>
</file>