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5B6D2E" Type="http://schemas.openxmlformats.org/officeDocument/2006/relationships/officeDocument" Target="/word/document.xml" /><Relationship Id="coreR615B6D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352/03 iniciado por la Sra. María Noemí Righi solicitando exención parcial de la deuda y reducción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 grupo familiar compuesto por la solicitante, su esposo y tres (3) hijos en edad escolar;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único ingreso con que cuenta proviene del sueldo que percibe la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28 de agosto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cincuenta por ciento (50%) el capital remanente del plan Nº 236212 suscripto por la Contribuyente Nº 13460 para financiar la deuda que en  concepto de Tasa por Servicios a la Propiedad mantiene con el Municipio al 31 de diciembre de 2001, el inmueble designación catastral 03-01-263-013-000 y reducir en el mismo porcentaje las cuotas pendientes de dicho plan.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CINCO ($ 5.-), al mismo inmueble.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conforme al beneficio otorgado en el Art. 2, eximir de una (1) cuota de la deuda anterior en forma correlativa, de los períodos 2002 y lo que va del 2003.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2003-09-08T14:48:00Z</dcterms:created>
  <cp:lastModifiedBy>Ethan Puglia</cp:lastModifiedBy>
  <cp:lastPrinted>2003-06-13T14:43:00Z</cp:lastPrinted>
  <dcterms:modified xsi:type="dcterms:W3CDTF">2019-03-28T17:33:56Z</dcterms:modified>
  <cp:revision>8</cp:revision>
  <dc:title>ORDENANZA  Nº  5354</dc:title>
</cp:coreProperties>
</file>