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5F6C201" Type="http://schemas.openxmlformats.org/officeDocument/2006/relationships/officeDocument" Target="/word/document.xml" /><Relationship Id="coreR25F6C201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6459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 Nº 698/02  iniciado por la Sra. Marta Pedernera solicitando exención de deuda de Tasa por Servicios a la Propiedad; y 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estudio socioeconómico realizado indica que se trata de un grupo familiar numeroso de escasos recursos que habita una precaria vivienda;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evaluado el contenido del expediente por Comisión de Hacienda, la misma emite despacho accediendo a otorgar   los beneficios de la Ordenanza Nº 5485, despacho aprobado por unanimidad en Sesión de fecha 28 de agosto de 2003.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FIJAR</w:t>
      </w:r>
      <w:r>
        <w:rPr>
          <w:rStyle w:val="C3"/>
          <w:sz w:val="24"/>
        </w:rPr>
        <w:t xml:space="preserve">  como cuota mensual a abonar en concepto de Tasa por Servicios a  la Propiedad  por el corriente año,  la suma de PESOS TRES ($3.-), al inmueble designación catastral 04-01-092-012-000, conforme a lo establecido en la Ordenanza Nº 5485 siempre que se mantengan las condiciones que fundamentan la presente.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POR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cada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cuota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abonada en término eximir de una (1) cuota de la deuda en forma correlativa.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 xml:space="preserve"> 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3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EN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 xml:space="preserve">caso de transferencia del inmueble designación catastral Nº 04-01-092-012-000 el beneficio otorgado caducará en forma automática. 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 xml:space="preserve"> 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4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VEINTIOCHO DIAS DEL MES DE AGOSTO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2003-08-15T01:20:00Z</dcterms:created>
  <cp:lastModifiedBy>Ethan Puglia</cp:lastModifiedBy>
  <cp:lastPrinted>2003-08-12T06:26:00Z</cp:lastPrinted>
  <dcterms:modified xsi:type="dcterms:W3CDTF">2019-03-28T17:33:56Z</dcterms:modified>
  <cp:revision>6</cp:revision>
  <dc:title>ORDENANZA  Nº  5354</dc:title>
</cp:coreProperties>
</file>