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15894CCF" Type="http://schemas.openxmlformats.org/officeDocument/2006/relationships/officeDocument" Target="/word/document.xml" /><Relationship Id="coreR15894CCF"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
        <w:rPr>
          <w:rStyle w:val="C3"/>
          <w:rFonts w:ascii="Courier New" w:hAnsi="Courier New"/>
          <w:color w:val="000000"/>
        </w:rPr>
      </w:pPr>
      <w:r>
        <w:rPr>
          <w:rStyle w:val="C3"/>
          <w:rFonts w:ascii="Courier New" w:hAnsi="Courier New"/>
        </w:rPr>
        <w:t xml:space="preserve">ORDENANZA  Nº  6460</w:t>
      </w:r>
    </w:p>
    <w:p>
      <w:pPr>
        <w:jc w:val="center"/>
        <w:rPr>
          <w:rStyle w:val="C3"/>
          <w:rFonts w:ascii="Courier New" w:hAnsi="Courier New"/>
          <w:sz w:val="24"/>
        </w:rPr>
      </w:pPr>
    </w:p>
    <w:p>
      <w:pPr>
        <w:jc w:val="center"/>
        <w:rPr>
          <w:rStyle w:val="C3"/>
          <w:rFonts w:ascii="Courier New" w:hAnsi="Courier New"/>
          <w:sz w:val="24"/>
        </w:rPr>
      </w:pPr>
    </w:p>
    <w:p>
      <w:pPr>
        <w:jc w:val="center"/>
        <w:rPr>
          <w:rStyle w:val="C3"/>
          <w:rFonts w:ascii="Courier New" w:hAnsi="Courier New"/>
          <w:sz w:val="24"/>
        </w:rPr>
      </w:pPr>
    </w:p>
    <w:p>
      <w:pPr>
        <w:pStyle w:val="P5"/>
        <w:rPr>
          <w:rStyle w:val="C3"/>
          <w:rFonts w:ascii="Courier New" w:hAnsi="Courier New"/>
        </w:rPr>
      </w:pPr>
      <w:r>
        <w:rPr>
          <w:rStyle w:val="C3"/>
          <w:rFonts w:ascii="Courier New" w:hAnsi="Courier New"/>
        </w:rPr>
        <w:t xml:space="preserve">Visto: Los Expedientes  Nº 2010/02 y Nº 5/I/03  iniciados  por la Sra. María Sánchez solicitando exención de Tasas Municipales; y </w:t>
      </w:r>
    </w:p>
    <w:p>
      <w:pPr>
        <w:rPr>
          <w:rStyle w:val="C3"/>
        </w:rPr>
      </w:pPr>
    </w:p>
    <w:p>
      <w:pPr>
        <w:rPr>
          <w:rStyle w:val="C3"/>
        </w:rPr>
      </w:pPr>
    </w:p>
    <w:p>
      <w:pPr>
        <w:pStyle w:val="P1"/>
        <w:rPr>
          <w:rStyle w:val="C3"/>
          <w:rFonts w:ascii="Courier New" w:hAnsi="Courier New"/>
        </w:rPr>
      </w:pPr>
      <w:r>
        <w:rPr>
          <w:rStyle w:val="C3"/>
          <w:rFonts w:ascii="Courier New" w:hAnsi="Courier New"/>
        </w:rPr>
        <w:t>C O N S I D E R A N D O</w:t>
      </w:r>
    </w:p>
    <w:p>
      <w:pPr>
        <w:pStyle w:val="P6"/>
        <w:rPr>
          <w:rStyle w:val="C3"/>
          <w:rFonts w:ascii="Courier New" w:hAnsi="Courier New"/>
        </w:rPr>
      </w:pP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solicita la exención de Tasa por Servicios de Administración y Mantenimiento de los Cementerios, Tasa por Servicios a la Propiedad y Contribución que incide sobre los Automotores;</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el estudio socioeconómico realizado indica que se trata de un matrimonio que atraviesa serios problemas, habiendo fallecido su hija y no cuentan con trabajo;</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no cuentan con ingresos para afrontar el pago de las tasas;</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evaluado el contenido de los expedientes por Comisión de Hacienda, la misma emite despacho accediendo parcialmente a lo solicitado, despacho aprobado por unanimidad en Sesión de fecha 28 de agosto de 2003.</w:t>
      </w:r>
    </w:p>
    <w:p>
      <w:pPr>
        <w:pStyle w:val="P6"/>
        <w:rPr>
          <w:rStyle w:val="C3"/>
          <w:rFonts w:ascii="Courier New" w:hAnsi="Courier New"/>
        </w:rPr>
      </w:pPr>
    </w:p>
    <w:p>
      <w:pPr>
        <w:pStyle w:val="P6"/>
        <w:rPr>
          <w:rStyle w:val="C3"/>
          <w:rFonts w:ascii="Courier New" w:hAnsi="Courier New"/>
        </w:rPr>
      </w:pPr>
    </w:p>
    <w:p>
      <w:pPr>
        <w:pStyle w:val="P6"/>
        <w:rPr>
          <w:rStyle w:val="C3"/>
          <w:rFonts w:ascii="Courier New" w:hAnsi="Courier New"/>
        </w:rPr>
      </w:pPr>
    </w:p>
    <w:p>
      <w:pPr>
        <w:pStyle w:val="P1"/>
        <w:rPr>
          <w:rStyle w:val="C3"/>
          <w:rFonts w:ascii="Courier New" w:hAnsi="Courier New"/>
        </w:rPr>
      </w:pPr>
      <w:r>
        <w:rPr>
          <w:rStyle w:val="C3"/>
          <w:rFonts w:ascii="Courier New" w:hAnsi="Courier New"/>
        </w:rPr>
        <w:t>EL HONORABLE CONCEJO DELIBERANTE DE LA CIUDAD DE</w:t>
      </w: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ind w:left="709"/>
        <w:jc w:val="center"/>
        <w:rPr>
          <w:rStyle w:val="C3"/>
          <w:rFonts w:ascii="Courier New" w:hAnsi="Courier New"/>
          <w:b w:val="1"/>
          <w:sz w:val="24"/>
        </w:rPr>
      </w:pPr>
      <w:r>
        <w:rPr>
          <w:rStyle w:val="C3"/>
          <w:rFonts w:ascii="Courier New" w:hAnsi="Courier New"/>
          <w:b w:val="1"/>
          <w:sz w:val="24"/>
        </w:rPr>
        <w:t>ALTA GRACIA SANCIONA CON FUERZA DE ORDENANZA</w:t>
      </w:r>
    </w:p>
    <w:p>
      <w:pPr>
        <w:ind w:left="709"/>
        <w:jc w:val="center"/>
        <w:rPr>
          <w:rStyle w:val="C3"/>
          <w:rFonts w:ascii="Courier New" w:hAnsi="Courier New"/>
          <w:b w:val="1"/>
          <w:sz w:val="24"/>
        </w:rPr>
      </w:pPr>
    </w:p>
    <w:p>
      <w:pPr>
        <w:pStyle w:val="P8"/>
        <w:ind w:hanging="709" w:left="709"/>
        <w:jc w:val="both"/>
        <w:rPr>
          <w:rStyle w:val="C3"/>
          <w:b w:val="1"/>
          <w:sz w:val="24"/>
          <w:u w:val="single"/>
        </w:rPr>
      </w:pPr>
    </w:p>
    <w:p>
      <w:pPr>
        <w:pStyle w:val="P8"/>
        <w:ind w:hanging="709" w:left="709"/>
        <w:jc w:val="both"/>
        <w:rPr>
          <w:rStyle w:val="C3"/>
          <w:b w:val="1"/>
          <w:sz w:val="24"/>
          <w:u w:val="single"/>
        </w:rPr>
      </w:pPr>
    </w:p>
    <w:p>
      <w:pPr>
        <w:pStyle w:val="P8"/>
        <w:ind w:hanging="709" w:left="709"/>
        <w:jc w:val="both"/>
        <w:rPr>
          <w:rStyle w:val="C3"/>
          <w:sz w:val="24"/>
        </w:rPr>
      </w:pPr>
      <w:r>
        <w:rPr>
          <w:rStyle w:val="C3"/>
          <w:b w:val="1"/>
          <w:sz w:val="24"/>
          <w:u w:val="single"/>
        </w:rPr>
        <w:t>Art.1:</w:t>
      </w:r>
      <w:r>
        <w:rPr>
          <w:rStyle w:val="C3"/>
          <w:b w:val="1"/>
          <w:sz w:val="24"/>
        </w:rPr>
        <w:t xml:space="preserve"> EXIMIR </w:t>
      </w:r>
      <w:r>
        <w:rPr>
          <w:rStyle w:val="C3"/>
          <w:sz w:val="24"/>
        </w:rPr>
        <w:t xml:space="preserve"> en un cien por ciento (100%) la deuda que a la fecha mantiene con el Municipio en concepto de Contribución que incide sobre los Automotores el ciclomotor Dominio 551 AXD, solicitando al Departamento Ejecutivo interceda ante el procurador actuante para dejar sin efecto el juicio iniciado para perseguir el cobro.</w:t>
      </w:r>
    </w:p>
    <w:p>
      <w:pPr>
        <w:pStyle w:val="P8"/>
        <w:ind w:hanging="709" w:left="709"/>
        <w:jc w:val="right"/>
        <w:rPr>
          <w:rStyle w:val="C3"/>
          <w:sz w:val="24"/>
        </w:rPr>
      </w:pPr>
      <w:r>
        <w:rPr>
          <w:rStyle w:val="C3"/>
          <w:sz w:val="24"/>
        </w:rPr>
        <w:t>...///</w:t>
      </w:r>
    </w:p>
    <w:p>
      <w:pPr>
        <w:pStyle w:val="P8"/>
        <w:ind w:hanging="709" w:left="709"/>
        <w:jc w:val="both"/>
        <w:rPr>
          <w:rStyle w:val="C3"/>
          <w:b w:val="1"/>
          <w:sz w:val="24"/>
          <w:u w:val="single"/>
        </w:rPr>
      </w:pPr>
    </w:p>
    <w:p>
      <w:pPr>
        <w:pStyle w:val="P8"/>
        <w:ind w:hanging="709" w:left="709"/>
        <w:jc w:val="both"/>
        <w:rPr>
          <w:rStyle w:val="C3"/>
          <w:b w:val="1"/>
          <w:sz w:val="24"/>
          <w:u w:val="single"/>
        </w:rPr>
      </w:pPr>
    </w:p>
    <w:p>
      <w:pPr>
        <w:pStyle w:val="P8"/>
        <w:ind w:hanging="709" w:left="709"/>
        <w:jc w:val="both"/>
        <w:rPr>
          <w:rStyle w:val="C3"/>
          <w:sz w:val="24"/>
        </w:rPr>
      </w:pPr>
    </w:p>
    <w:p>
      <w:pPr>
        <w:pStyle w:val="P8"/>
        <w:ind w:hanging="709" w:left="709"/>
        <w:jc w:val="both"/>
        <w:rPr>
          <w:rStyle w:val="C3"/>
          <w:sz w:val="24"/>
        </w:rPr>
      </w:pPr>
      <w:r>
        <w:rPr>
          <w:rStyle w:val="C3"/>
          <w:sz w:val="24"/>
        </w:rPr>
        <w:t>...///2.-</w:t>
      </w:r>
    </w:p>
    <w:p>
      <w:pPr>
        <w:pStyle w:val="P8"/>
        <w:ind w:hanging="709" w:left="709"/>
        <w:jc w:val="both"/>
        <w:rPr>
          <w:rStyle w:val="C3"/>
          <w:b w:val="1"/>
          <w:sz w:val="24"/>
          <w:u w:val="single"/>
        </w:rPr>
      </w:pPr>
    </w:p>
    <w:p>
      <w:pPr>
        <w:pStyle w:val="P8"/>
        <w:ind w:hanging="709" w:left="709"/>
        <w:jc w:val="both"/>
        <w:rPr>
          <w:rStyle w:val="C3"/>
          <w:b w:val="1"/>
          <w:sz w:val="24"/>
          <w:u w:val="single"/>
        </w:rPr>
      </w:pPr>
    </w:p>
    <w:p>
      <w:pPr>
        <w:pStyle w:val="P8"/>
        <w:ind w:hanging="709" w:left="709"/>
        <w:jc w:val="both"/>
        <w:rPr>
          <w:rStyle w:val="C3"/>
          <w:b w:val="1"/>
          <w:sz w:val="24"/>
          <w:u w:val="single"/>
        </w:rPr>
      </w:pPr>
    </w:p>
    <w:p>
      <w:pPr>
        <w:pStyle w:val="P8"/>
        <w:ind w:hanging="709" w:left="709"/>
        <w:jc w:val="both"/>
        <w:rPr>
          <w:rStyle w:val="C3"/>
          <w:sz w:val="24"/>
        </w:rPr>
      </w:pPr>
      <w:r>
        <w:rPr>
          <w:rStyle w:val="C3"/>
          <w:b w:val="1"/>
          <w:sz w:val="24"/>
          <w:u w:val="single"/>
        </w:rPr>
        <w:t>Art.2:</w:t>
      </w:r>
      <w:r>
        <w:rPr>
          <w:rStyle w:val="C3"/>
          <w:b w:val="1"/>
          <w:sz w:val="24"/>
        </w:rPr>
        <w:t xml:space="preserve"> </w:t>
      </w:r>
      <w:r>
        <w:rPr>
          <w:rStyle w:val="C3"/>
          <w:b w:val="1"/>
          <w:sz w:val="24"/>
        </w:rPr>
        <w:t>E</w:t>
      </w:r>
      <w:r>
        <w:rPr>
          <w:rStyle w:val="C3"/>
          <w:b w:val="1"/>
          <w:sz w:val="24"/>
        </w:rPr>
        <w:t>XIMIR</w:t>
      </w:r>
      <w:r>
        <w:rPr>
          <w:rStyle w:val="C3"/>
          <w:b w:val="1"/>
          <w:sz w:val="24"/>
        </w:rPr>
        <w:t xml:space="preserve"> </w:t>
      </w:r>
      <w:r>
        <w:rPr>
          <w:rStyle w:val="C3"/>
          <w:sz w:val="24"/>
        </w:rPr>
        <w:t xml:space="preserve">en un cincuenta por ciento (50%) la deuda que a la fecha mantiene con el municipio en concepto de Tasa por Servicios de Administración y Mantenimiento de los Cementerios, la Identificación  Nº 2677, autorizando al Departamento Ejecutivo a conceder por el cincuenta por ciento (50%) restante un plan de pagos conforme a las posibilidades de la contribuyente.  </w:t>
      </w:r>
    </w:p>
    <w:p>
      <w:pPr>
        <w:pStyle w:val="P8"/>
        <w:ind w:hanging="709" w:left="709"/>
        <w:jc w:val="both"/>
        <w:rPr>
          <w:rStyle w:val="C3"/>
          <w:sz w:val="24"/>
          <w:u w:val="single"/>
        </w:rPr>
      </w:pPr>
    </w:p>
    <w:p>
      <w:pPr>
        <w:pStyle w:val="P8"/>
        <w:ind w:hanging="709" w:left="709"/>
        <w:jc w:val="both"/>
        <w:rPr>
          <w:rStyle w:val="C3"/>
          <w:b w:val="1"/>
          <w:sz w:val="24"/>
          <w:u w:val="single"/>
        </w:rPr>
      </w:pPr>
      <w:r>
        <w:rPr>
          <w:rStyle w:val="C3"/>
          <w:b w:val="1"/>
          <w:sz w:val="24"/>
          <w:u w:val="single"/>
        </w:rPr>
        <w:t>A</w:t>
      </w:r>
      <w:r>
        <w:rPr>
          <w:rStyle w:val="C3"/>
          <w:b w:val="1"/>
          <w:sz w:val="24"/>
          <w:u w:val="single"/>
        </w:rPr>
        <w:t>rt.</w:t>
      </w:r>
      <w:r>
        <w:rPr>
          <w:rStyle w:val="C3"/>
          <w:b w:val="1"/>
          <w:sz w:val="24"/>
          <w:u w:val="single"/>
        </w:rPr>
        <w:t>3</w:t>
      </w:r>
      <w:r>
        <w:rPr>
          <w:rStyle w:val="C3"/>
          <w:b w:val="1"/>
          <w:sz w:val="24"/>
          <w:u w:val="single"/>
        </w:rPr>
        <w:t>:</w:t>
      </w:r>
      <w:r>
        <w:rPr>
          <w:rStyle w:val="C3"/>
          <w:b w:val="1"/>
          <w:sz w:val="24"/>
        </w:rPr>
        <w:t xml:space="preserve"> </w:t>
      </w:r>
      <w:r>
        <w:rPr>
          <w:rStyle w:val="C3"/>
          <w:b w:val="1"/>
          <w:sz w:val="24"/>
        </w:rPr>
        <w:t>S</w:t>
      </w:r>
      <w:r>
        <w:rPr>
          <w:rStyle w:val="C3"/>
          <w:b w:val="1"/>
          <w:sz w:val="24"/>
        </w:rPr>
        <w:t xml:space="preserve">OLICITAR </w:t>
      </w:r>
      <w:r>
        <w:rPr>
          <w:rStyle w:val="C3"/>
          <w:sz w:val="24"/>
        </w:rPr>
        <w:t xml:space="preserve"> al Departamento Ejecutivo interceda ante el procurador actuante a fin de dejar sin efecto el juicio iniciado para el cobro de la Tasa por Servicios de Administración y Mantenimiento de los Cementerios.</w:t>
      </w:r>
    </w:p>
    <w:p>
      <w:pPr>
        <w:ind w:hanging="709" w:left="709"/>
        <w:jc w:val="both"/>
        <w:rPr>
          <w:rStyle w:val="C3"/>
          <w:rFonts w:ascii="Courier New" w:hAnsi="Courier New"/>
          <w:sz w:val="24"/>
        </w:rPr>
      </w:pPr>
      <w:r>
        <w:rPr>
          <w:rStyle w:val="C3"/>
          <w:rFonts w:ascii="Courier New" w:hAnsi="Courier New"/>
          <w:sz w:val="24"/>
        </w:rPr>
        <w:t xml:space="preserve"> </w:t>
      </w:r>
      <w:r>
        <w:rPr>
          <w:rStyle w:val="C3"/>
          <w:rFonts w:ascii="Courier New" w:hAnsi="Courier New"/>
          <w:b w:val="1"/>
          <w:sz w:val="24"/>
        </w:rPr>
        <w:t xml:space="preserve"> </w:t>
      </w:r>
      <w:r>
        <w:rPr>
          <w:rStyle w:val="C3"/>
          <w:rFonts w:ascii="Courier New" w:hAnsi="Courier New"/>
          <w:sz w:val="24"/>
        </w:rPr>
        <w:t xml:space="preserve"> </w:t>
      </w:r>
    </w:p>
    <w:p>
      <w:pPr>
        <w:ind w:hanging="709" w:left="709"/>
        <w:jc w:val="both"/>
        <w:rPr>
          <w:rStyle w:val="C3"/>
          <w:rFonts w:ascii="Courier New" w:hAnsi="Courier New"/>
          <w:sz w:val="24"/>
        </w:rPr>
      </w:pPr>
      <w:r>
        <w:rPr>
          <w:rStyle w:val="C3"/>
          <w:rFonts w:ascii="Courier New" w:hAnsi="Courier New"/>
          <w:b w:val="1"/>
          <w:sz w:val="24"/>
          <w:u w:val="single"/>
        </w:rPr>
        <w:t>Art.</w:t>
      </w:r>
      <w:r>
        <w:rPr>
          <w:rStyle w:val="C3"/>
          <w:rFonts w:ascii="Courier New" w:hAnsi="Courier New"/>
          <w:b w:val="1"/>
          <w:sz w:val="24"/>
          <w:u w:val="single"/>
        </w:rPr>
        <w:t>4</w:t>
      </w:r>
      <w:r>
        <w:rPr>
          <w:rStyle w:val="C3"/>
          <w:rFonts w:ascii="Courier New" w:hAnsi="Courier New"/>
          <w:b w:val="1"/>
          <w:sz w:val="24"/>
          <w:u w:val="single"/>
        </w:rPr>
        <w:t>:</w:t>
      </w:r>
      <w:r>
        <w:rPr>
          <w:rStyle w:val="C3"/>
          <w:rFonts w:ascii="Courier New" w:hAnsi="Courier New"/>
          <w:b w:val="1"/>
          <w:sz w:val="24"/>
        </w:rPr>
        <w:t xml:space="preserve"> COMUNÍQUESE,</w:t>
      </w:r>
      <w:r>
        <w:rPr>
          <w:rStyle w:val="C3"/>
          <w:rFonts w:ascii="Courier New" w:hAnsi="Courier New"/>
          <w:sz w:val="24"/>
        </w:rPr>
        <w:t xml:space="preserve"> publíquese, transcríbase al Libro de Ordenanzas y archívese.</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p>
    <w:p>
      <w:pPr>
        <w:pStyle w:val="P7"/>
        <w:rPr>
          <w:rStyle w:val="C3"/>
          <w:rFonts w:ascii="Courier New" w:hAnsi="Courier New"/>
        </w:rPr>
      </w:pPr>
      <w:r>
        <w:rPr>
          <w:rStyle w:val="C3"/>
          <w:rFonts w:ascii="Courier New" w:hAnsi="Courier New"/>
        </w:rPr>
        <w:t>DADA EN LA SALA DE SESIONES DEL HONORABLE CONCEJO DELIBERANTE A VEINTIOCHO DIAS DEL MES DE AGOSTO DEL AÑO DOS MIL TRES.</w:t>
      </w: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sectPr>
      <w:type w:val="nextPage"/>
      <w:pgMar w:left="1701" w:right="1701" w:top="1418" w:bottom="1418" w:header="708" w:footer="708" w:gutter="0"/>
    </w:sectPr>
  </w:body>
</w:document>
</file>

<file path=word/numbering.xml><?xml version="1.0" encoding="utf-8"?>
<w:numbering xmlns:w="http://schemas.openxmlformats.org/wordprocessingml/2006/main"/>
</file>

<file path=word/settings.xml><?xml version="1.0" encoding="utf-8"?>
<w:settings xmlns:w="http://schemas.openxmlformats.org/wordprocessingml/2006/main">
  <w:displayBackgroundShape w:val="0"/>
  <w:documentProtection w:enforcement="1"/>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0"/>
    </w:rPr>
  </w:style>
  <w:style w:type="paragraph" w:styleId="P1">
    <w:name w:val="Título 1"/>
    <w:basedOn w:val="P0"/>
    <w:next w:val="P0"/>
    <w:pPr>
      <w:keepNext w:val="1"/>
      <w:ind w:left="709"/>
      <w:jc w:val="center"/>
      <w:outlineLvl w:val="0"/>
    </w:pPr>
    <w:rPr>
      <w:b w:val="1"/>
      <w:sz w:val="24"/>
    </w:rPr>
  </w:style>
  <w:style w:type="paragraph" w:styleId="P2">
    <w:name w:val="Encabezado"/>
    <w:basedOn w:val="P0"/>
    <w:next w:val="P2"/>
    <w:pPr>
      <w:tabs>
        <w:tab w:val="center" w:pos="4419" w:leader="none"/>
        <w:tab w:val="right" w:pos="8838" w:leader="none"/>
      </w:tabs>
    </w:pPr>
    <w:rPr/>
  </w:style>
  <w:style w:type="paragraph" w:styleId="P3">
    <w:name w:val="Pie de página"/>
    <w:basedOn w:val="P0"/>
    <w:next w:val="P3"/>
    <w:pPr>
      <w:tabs>
        <w:tab w:val="center" w:pos="4419" w:leader="none"/>
        <w:tab w:val="right" w:pos="8838" w:leader="none"/>
      </w:tabs>
    </w:pPr>
    <w:rPr/>
  </w:style>
  <w:style w:type="paragraph" w:styleId="P4">
    <w:name w:val="Título"/>
    <w:basedOn w:val="P0"/>
    <w:next w:val="P4"/>
    <w:pPr>
      <w:jc w:val="center"/>
    </w:pPr>
    <w:rPr>
      <w:b w:val="1"/>
      <w:sz w:val="24"/>
      <w:u w:val="single"/>
    </w:rPr>
  </w:style>
  <w:style w:type="paragraph" w:styleId="P5">
    <w:name w:val="Sangría de t. independiente"/>
    <w:basedOn w:val="P0"/>
    <w:next w:val="P5"/>
    <w:pPr>
      <w:ind w:hanging="709" w:left="709"/>
      <w:jc w:val="both"/>
    </w:pPr>
    <w:rPr>
      <w:sz w:val="24"/>
    </w:rPr>
  </w:style>
  <w:style w:type="paragraph" w:styleId="P6">
    <w:name w:val="Sangría 2 de t. independiente"/>
    <w:basedOn w:val="P0"/>
    <w:next w:val="P6"/>
    <w:pPr>
      <w:ind w:left="709"/>
      <w:jc w:val="both"/>
    </w:pPr>
    <w:rPr>
      <w:sz w:val="24"/>
    </w:rPr>
  </w:style>
  <w:style w:type="paragraph" w:styleId="P7">
    <w:name w:val="Texto independiente"/>
    <w:basedOn w:val="P0"/>
    <w:next w:val="P7"/>
    <w:pPr>
      <w:jc w:val="both"/>
    </w:pPr>
    <w:rPr>
      <w:b w:val="1"/>
      <w:sz w:val="24"/>
    </w:rPr>
  </w:style>
  <w:style w:type="paragraph" w:styleId="P8">
    <w:name w:val="Texto sin formato"/>
    <w:basedOn w:val="P0"/>
    <w:next w:val="P8"/>
    <w:pPr/>
    <w:rPr>
      <w:rFonts w:ascii="Courier New" w:hAnsi="Courier New"/>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2003-08-15T01:37:00Z</dcterms:created>
  <cp:lastModifiedBy>Ethan Puglia</cp:lastModifiedBy>
  <cp:lastPrinted>2003-08-15T02:12:00Z</cp:lastPrinted>
  <dcterms:modified xsi:type="dcterms:W3CDTF">2019-03-28T17:33:56Z</dcterms:modified>
  <cp:revision>7</cp:revision>
  <dc:title>ORDENANZA  Nº  5354</dc:title>
</cp:coreProperties>
</file>