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31D9370" Type="http://schemas.openxmlformats.org/officeDocument/2006/relationships/officeDocument" Target="/word/document.xml" /><Relationship Id="coreR631D937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6466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1380/02 iniciado por la Sra. Teresa Josefa Gil solicitando exención de Tasa por Servicios a la Propiedad y de Tasa por Servicios de Administración y Mantenimiento de los Cementerios;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se trata de una persona mayor que vive con su esposo de 80 años que no perciben jubilación ni pensión, subsistiendo de la ayuda de sus hijos;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ambos cónyuges padecen problemas de salud y requieren medicación en forma permanente;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los beneficios de la Ordenanza Nº 5485 y facilitando el pago de Tasa por Servicios de Administración y Mantenimiento de los Cementerios, despacho aprobado por unanimidad en Sesión de fecha 4 de septiembre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FIJAR </w:t>
      </w:r>
      <w:r>
        <w:rPr>
          <w:rStyle w:val="C3"/>
          <w:rFonts w:ascii="Courier New" w:hAnsi="Courier New"/>
          <w:sz w:val="24"/>
        </w:rPr>
        <w:t xml:space="preserve">como cuota mensual a abonar en concepto de Tasa por Servicios a la Propiedad desde la promulgación de la presente  Ordenanza  y  hasta el 31 de diciembre de 2004 inclusive, la suma de PESOS SEIS ($ 6.-), al inmueble designación catastral 01-01-075-013-000, conforme a lo establecido en la Ordenanza Nº 5485 siempre que se mantengan las condiciones que fundamentan la presente.</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POR </w:t>
      </w:r>
      <w:r>
        <w:rPr>
          <w:rStyle w:val="C3"/>
          <w:rFonts w:ascii="Courier New" w:hAnsi="Courier New"/>
          <w:sz w:val="24"/>
        </w:rPr>
        <w:t xml:space="preserve">cada cuota abonada en término se le eximirá de una  (1) cuota de la deuda en forma correlativa.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FIJAR </w:t>
      </w:r>
      <w:r>
        <w:rPr>
          <w:rStyle w:val="C3"/>
          <w:rFonts w:ascii="Courier New" w:hAnsi="Courier New"/>
          <w:sz w:val="24"/>
        </w:rPr>
        <w:t>una cuota bimestral de PESOS CUATRO ($ 4.-) a abonar en concepto de Tasa por Servicios de Administración y Mantenimiento de los Cementerios a la Identificación Nº 2198 a partir de la promulgación de la presente y hasta el 31 de diciembre de 2004.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 xml:space="preserve">R </w:t>
      </w:r>
      <w:r>
        <w:rPr>
          <w:rStyle w:val="C3"/>
          <w:rFonts w:ascii="Courier New" w:hAnsi="Courier New"/>
          <w:sz w:val="24"/>
        </w:rPr>
        <w:t xml:space="preserve">cada cuota abonada en término conforme a lo establecido en el Art. 3, se le eximirá de una (1) cuota de la deuda anterior en forma sucesiva manteniendo la correlatividad.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EN </w:t>
      </w:r>
      <w:r>
        <w:rPr>
          <w:rStyle w:val="C3"/>
          <w:rFonts w:ascii="Courier New" w:hAnsi="Courier New"/>
          <w:sz w:val="24"/>
        </w:rPr>
        <w:t>caso de transferencia del inmueble designación catastral 01-01-075-013-000 los beneficios otorgados en los Arts. 1 y 2 de la presente Ordenanza caducarán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SOLICITAR </w:t>
      </w:r>
      <w:r>
        <w:rPr>
          <w:rStyle w:val="C3"/>
          <w:rFonts w:ascii="Courier New" w:hAnsi="Courier New"/>
          <w:sz w:val="24"/>
        </w:rPr>
        <w:t>al Departamento Ejecutivo se deje sin efecto cualquier gestión judicial o extrajudicial realizada para perseguir el cobro de las Tasas contempladas en la presente Ordenanza.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7</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CUATRO DIAS DEL MES DE SEPTIEMBRE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2003-09-16T15:10:00Z</dcterms:created>
  <cp:lastModifiedBy>Ethan Puglia</cp:lastModifiedBy>
  <cp:lastPrinted>2003-07-11T15:27:00Z</cp:lastPrinted>
  <dcterms:modified xsi:type="dcterms:W3CDTF">2019-03-28T17:33:56Z</dcterms:modified>
  <cp:revision>11</cp:revision>
  <dc:title>ORDENANZA  Nº  5354</dc:title>
</cp:coreProperties>
</file>