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D7C809" Type="http://schemas.openxmlformats.org/officeDocument/2006/relationships/officeDocument" Target="/word/document.xml" /><Relationship Id="coreR23D7C8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Visto: El Expediente Nº 642/I/01 iniciado con nota de la  Sra. Roxana Valeria Frechero de Carri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indica que se trata de un  grupo familiar compuesto por ambos cónyuges y una pequeña hija, percibiendo ingresos inestables insuficientes para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los beneficios de la Ordenanza Nº 5485,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sz w:val="24"/>
        </w:rPr>
        <w:t xml:space="preserve"> a la Contribuyente Nº 3220 de la deuda que en concepto de Tasa por Servicios a la Propiedad mantiene con el Municipio al 31 de diciembre de 1999, incluido Plan de Pagos Nº 944702, por el inmueble designación catastral 03-01-328-014-000.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($ 4,00.-), por el mismo inmueble.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al Art. 2 se le eximirá de dos (2) cuotas de la deuda de los períodos no comprendidos en el Art. 1.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03-01-328-014-000 los beneficios otorgados en los Arts. 2 y 3 de la presente Ordenanza caducarán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2003-09-17T13:12:00Z</dcterms:created>
  <cp:lastModifiedBy>Ethan Puglia</cp:lastModifiedBy>
  <cp:lastPrinted>2003-09-17T13:11:00Z</cp:lastPrinted>
  <dcterms:modified xsi:type="dcterms:W3CDTF">2019-03-28T17:33:56Z</dcterms:modified>
  <cp:revision>10</cp:revision>
  <dc:title>ORDENANZA  Nº  5354</dc:title>
</cp:coreProperties>
</file>