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E1F97C" Type="http://schemas.openxmlformats.org/officeDocument/2006/relationships/officeDocument" Target="/word/document.xml" /><Relationship Id="coreR1AE1F9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6496</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1576/02 iniciado  por la Sra. Viviana Beatriz Isola solicitando se le concedan los beneficios de la Ordenanza  Nº 5485;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se trata de un grupo familiar con marcados límites económicos;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único ingreso que posee la familia proviene de un plan de Jefes de Hogar;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informa que esta contribuyente ha manifestado incapacidad de pago para afrontar la deuda que mantiene con el Municipio;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11 de setiembre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w:t>
      </w:r>
      <w:r>
        <w:rPr>
          <w:rStyle w:val="C3"/>
          <w:b w:val="1"/>
          <w:sz w:val="24"/>
        </w:rPr>
        <w:t>OTORGAR</w:t>
      </w:r>
      <w:r>
        <w:rPr>
          <w:rStyle w:val="C3"/>
          <w:b w:val="1"/>
          <w:sz w:val="24"/>
        </w:rPr>
        <w:t xml:space="preserve"> </w:t>
      </w:r>
      <w:r>
        <w:rPr>
          <w:rStyle w:val="C3"/>
          <w:sz w:val="24"/>
        </w:rPr>
        <w:t xml:space="preserve">a la Contribuyente Nº 2336 los beneficios establecidos en la Ordenanza Nº 5485 y sus modificatorias, fijando una cuota mensual a abonar en concepto de Tasa por Servicios a la Propiedad por el inmueble designación catastral  Nº 04-01-077-011-000, la suma de PESOS CUATRO ($4.-) desde la promulgación de la presente y hasta el 31 de diciembre de 2004, siempre que se mantengan las condiciones que fundamentan la presente.</w:t>
      </w:r>
    </w:p>
    <w:p>
      <w:pPr>
        <w:pStyle w:val="P8"/>
        <w:ind w:hanging="709" w:left="709"/>
        <w:jc w:val="right"/>
        <w:rPr>
          <w:rStyle w:val="C3"/>
          <w:sz w:val="24"/>
        </w:rPr>
      </w:pPr>
      <w:r>
        <w:rPr>
          <w:rStyle w:val="C3"/>
          <w:sz w:val="24"/>
        </w:rPr>
        <w:t>...///</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POR</w:t>
      </w:r>
      <w:r>
        <w:rPr>
          <w:rStyle w:val="C3"/>
          <w:sz w:val="24"/>
        </w:rPr>
        <w:t xml:space="preserve"> cada cuota abonada en término eximir de una (1) cuota de la deuda anterior no prescripta en forma correlativa.</w:t>
      </w:r>
    </w:p>
    <w:p>
      <w:pPr>
        <w:pStyle w:val="P8"/>
        <w:ind w:hanging="709" w:left="709"/>
        <w:jc w:val="both"/>
        <w:rPr>
          <w:rStyle w:val="C3"/>
          <w:b w:val="1"/>
          <w:sz w:val="24"/>
          <w:u w:val="single"/>
        </w:rPr>
      </w:pPr>
    </w:p>
    <w:p>
      <w:pPr>
        <w:pStyle w:val="P8"/>
        <w:ind w:hanging="709" w:left="709"/>
        <w:jc w:val="both"/>
        <w:rPr>
          <w:rStyle w:val="C3"/>
          <w:sz w:val="24"/>
          <w:u w:val="single"/>
        </w:rPr>
      </w:pPr>
      <w:r>
        <w:rPr>
          <w:rStyle w:val="C3"/>
          <w:b w:val="1"/>
          <w:sz w:val="24"/>
          <w:u w:val="single"/>
        </w:rPr>
        <w:t>A</w:t>
      </w:r>
      <w:r>
        <w:rPr>
          <w:rStyle w:val="C3"/>
          <w:b w:val="1"/>
          <w:sz w:val="24"/>
          <w:u w:val="single"/>
        </w:rPr>
        <w:t>rt.</w:t>
      </w:r>
      <w:r>
        <w:rPr>
          <w:rStyle w:val="C3"/>
          <w:b w:val="1"/>
          <w:sz w:val="24"/>
          <w:u w:val="single"/>
        </w:rPr>
        <w:t>3</w:t>
      </w:r>
      <w:r>
        <w:rPr>
          <w:rStyle w:val="C3"/>
          <w:b w:val="1"/>
          <w:sz w:val="24"/>
          <w:u w:val="single"/>
        </w:rPr>
        <w:t>:</w:t>
      </w:r>
      <w:r>
        <w:rPr>
          <w:rStyle w:val="C3"/>
          <w:sz w:val="24"/>
        </w:rPr>
        <w:t xml:space="preserve"> </w:t>
      </w:r>
      <w:r>
        <w:rPr>
          <w:rStyle w:val="C3"/>
          <w:b w:val="1"/>
          <w:sz w:val="24"/>
        </w:rPr>
        <w:t>EN</w:t>
      </w:r>
      <w:r>
        <w:rPr>
          <w:rStyle w:val="C3"/>
          <w:sz w:val="24"/>
        </w:rPr>
        <w:t xml:space="preserve"> caso de producirse un atraso en tres (3) cuotas consecutivas o cinco (5) alternadas en el pago de la cuota establecida en el Art.1, como así también en caso de transferirse el inmueble al que se hace referencia, estos beneficios caducarán en forma automática y definitiva.</w:t>
      </w:r>
    </w:p>
    <w:p>
      <w:pPr>
        <w:ind w:hanging="709" w:left="709"/>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ONCE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2003-08-20T00:28:00Z</dcterms:created>
  <cp:lastModifiedBy>Ethan Puglia</cp:lastModifiedBy>
  <cp:lastPrinted>2003-08-20T01:06:00Z</cp:lastPrinted>
  <dcterms:modified xsi:type="dcterms:W3CDTF">2019-03-28T17:33:57Z</dcterms:modified>
  <cp:revision>10</cp:revision>
  <dc:title>ORDENANZA  Nº  5354</dc:title>
</cp:coreProperties>
</file>